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880" w:rsidRDefault="00024880" w:rsidP="00716D2A">
      <w:pPr>
        <w:pStyle w:val="Ttulo8"/>
        <w:tabs>
          <w:tab w:val="right" w:pos="8842"/>
        </w:tabs>
        <w:spacing w:line="360" w:lineRule="auto"/>
        <w:jc w:val="right"/>
        <w:rPr>
          <w:rFonts w:ascii="Arial" w:hAnsi="Arial" w:cs="Arial"/>
          <w:bCs/>
          <w:i w:val="0"/>
          <w:szCs w:val="22"/>
        </w:rPr>
      </w:pPr>
      <w:r>
        <w:rPr>
          <w:rFonts w:ascii="Arial" w:hAnsi="Arial" w:cs="Arial"/>
          <w:bCs/>
          <w:i w:val="0"/>
          <w:noProof/>
          <w:szCs w:val="22"/>
          <w:lang w:val="en-US"/>
        </w:rPr>
        <mc:AlternateContent>
          <mc:Choice Requires="wps">
            <w:drawing>
              <wp:anchor distT="0" distB="0" distL="114300" distR="114300" simplePos="0" relativeHeight="251658240" behindDoc="1" locked="0" layoutInCell="1" allowOverlap="1" wp14:anchorId="6A4BF71D" wp14:editId="7F53FB3B">
                <wp:simplePos x="0" y="0"/>
                <wp:positionH relativeFrom="page">
                  <wp:posOffset>3419475</wp:posOffset>
                </wp:positionH>
                <wp:positionV relativeFrom="paragraph">
                  <wp:posOffset>19050</wp:posOffset>
                </wp:positionV>
                <wp:extent cx="3810635" cy="809625"/>
                <wp:effectExtent l="19050" t="19050" r="18415" b="28575"/>
                <wp:wrapSquare wrapText="bothSides"/>
                <wp:docPr id="8" name="Rectángulo redondead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635" cy="809625"/>
                        </a:xfrm>
                        <a:prstGeom prst="roundRect">
                          <a:avLst>
                            <a:gd name="adj" fmla="val 9670"/>
                          </a:avLst>
                        </a:prstGeom>
                        <a:solidFill>
                          <a:sysClr val="window" lastClr="FFFFFF">
                            <a:lumMod val="100000"/>
                            <a:lumOff val="0"/>
                          </a:sysClr>
                        </a:solidFill>
                        <a:ln w="38100" cmpd="dbl">
                          <a:solidFill>
                            <a:sysClr val="windowText" lastClr="000000">
                              <a:lumMod val="100000"/>
                              <a:lumOff val="0"/>
                            </a:sysClr>
                          </a:solidFill>
                          <a:round/>
                          <a:headEnd/>
                          <a:tailEnd/>
                        </a:ln>
                      </wps:spPr>
                      <wps:txbx>
                        <w:txbxContent>
                          <w:p w:rsidR="008E260A" w:rsidRDefault="008E260A" w:rsidP="008E260A">
                            <w:pPr>
                              <w:ind w:left="1418" w:hanging="1418"/>
                              <w:rPr>
                                <w:rFonts w:ascii="Arial" w:eastAsia="Calibri" w:hAnsi="Arial" w:cs="Arial"/>
                                <w:b/>
                                <w:sz w:val="21"/>
                                <w:szCs w:val="21"/>
                                <w:u w:val="single"/>
                                <w:lang w:val="es-MX"/>
                              </w:rPr>
                            </w:pPr>
                            <w:r>
                              <w:rPr>
                                <w:rFonts w:ascii="Arial" w:eastAsia="Calibri" w:hAnsi="Arial" w:cs="Arial"/>
                                <w:b/>
                                <w:sz w:val="21"/>
                                <w:szCs w:val="21"/>
                                <w:lang w:val="es-MX"/>
                              </w:rPr>
                              <w:t xml:space="preserve">Dependencia: </w:t>
                            </w:r>
                            <w:r w:rsidRPr="0021541D">
                              <w:rPr>
                                <w:rFonts w:ascii="Arial" w:eastAsia="Calibri" w:hAnsi="Arial" w:cs="Arial"/>
                                <w:b/>
                                <w:sz w:val="21"/>
                                <w:szCs w:val="21"/>
                                <w:u w:val="single"/>
                                <w:lang w:val="es-MX"/>
                              </w:rPr>
                              <w:t>Dirección</w:t>
                            </w:r>
                            <w:r>
                              <w:rPr>
                                <w:rFonts w:ascii="Arial" w:eastAsia="Calibri" w:hAnsi="Arial" w:cs="Arial"/>
                                <w:b/>
                                <w:sz w:val="21"/>
                                <w:szCs w:val="21"/>
                                <w:u w:val="single"/>
                                <w:lang w:val="es-MX"/>
                              </w:rPr>
                              <w:t xml:space="preserve"> General de Servicios Públicos</w:t>
                            </w:r>
                            <w:r w:rsidRPr="0021541D">
                              <w:rPr>
                                <w:rFonts w:ascii="Arial" w:eastAsia="Calibri" w:hAnsi="Arial" w:cs="Arial"/>
                                <w:b/>
                                <w:sz w:val="21"/>
                                <w:szCs w:val="21"/>
                                <w:u w:val="single"/>
                                <w:lang w:val="es-MX"/>
                              </w:rPr>
                              <w:t xml:space="preserve">   </w:t>
                            </w:r>
                          </w:p>
                          <w:p w:rsidR="008E260A" w:rsidRPr="0021541D" w:rsidRDefault="008E260A" w:rsidP="008E260A">
                            <w:pPr>
                              <w:ind w:left="1418" w:hanging="1418"/>
                              <w:rPr>
                                <w:rFonts w:ascii="Arial" w:eastAsia="Calibri" w:hAnsi="Arial" w:cs="Arial"/>
                                <w:b/>
                                <w:sz w:val="21"/>
                                <w:szCs w:val="21"/>
                                <w:u w:val="single"/>
                                <w:lang w:val="es-MX"/>
                              </w:rPr>
                            </w:pPr>
                            <w:r w:rsidRPr="0021541D">
                              <w:rPr>
                                <w:rFonts w:ascii="Arial" w:eastAsia="Calibri" w:hAnsi="Arial" w:cs="Arial"/>
                                <w:b/>
                                <w:sz w:val="21"/>
                                <w:szCs w:val="21"/>
                                <w:u w:val="single"/>
                                <w:lang w:val="es-MX"/>
                              </w:rPr>
                              <w:t xml:space="preserve">                                                </w:t>
                            </w:r>
                            <w:r>
                              <w:rPr>
                                <w:rFonts w:ascii="Arial" w:eastAsia="Calibri" w:hAnsi="Arial" w:cs="Arial"/>
                                <w:b/>
                                <w:sz w:val="21"/>
                                <w:szCs w:val="21"/>
                                <w:u w:val="single"/>
                                <w:lang w:val="es-MX"/>
                              </w:rPr>
                              <w:t xml:space="preserve">  </w:t>
                            </w:r>
                          </w:p>
                          <w:p w:rsidR="008E260A" w:rsidRPr="00173D50" w:rsidRDefault="008E260A" w:rsidP="008E260A">
                            <w:pPr>
                              <w:rPr>
                                <w:rFonts w:ascii="Arial" w:hAnsi="Arial" w:cs="Arial"/>
                                <w:b/>
                                <w:sz w:val="21"/>
                                <w:szCs w:val="21"/>
                                <w:lang w:val="es-ES"/>
                              </w:rPr>
                            </w:pPr>
                            <w:r w:rsidRPr="00173D50">
                              <w:rPr>
                                <w:rFonts w:ascii="Arial" w:hAnsi="Arial" w:cs="Arial"/>
                                <w:b/>
                                <w:sz w:val="21"/>
                                <w:szCs w:val="21"/>
                                <w:lang w:val="es-ES"/>
                              </w:rPr>
                              <w:t>No. Oficio:</w:t>
                            </w:r>
                            <w:r>
                              <w:rPr>
                                <w:rFonts w:ascii="Arial" w:hAnsi="Arial" w:cs="Arial"/>
                                <w:sz w:val="21"/>
                                <w:szCs w:val="21"/>
                                <w:lang w:val="es-ES"/>
                              </w:rPr>
                              <w:t xml:space="preserve"> </w:t>
                            </w:r>
                            <w:r>
                              <w:rPr>
                                <w:rFonts w:ascii="Arial" w:hAnsi="Arial" w:cs="Arial"/>
                                <w:b/>
                                <w:sz w:val="23"/>
                                <w:szCs w:val="23"/>
                                <w:lang w:val="es-ES"/>
                              </w:rPr>
                              <w:t>DGSP/</w:t>
                            </w:r>
                            <w:r w:rsidRPr="00716D2A">
                              <w:rPr>
                                <w:rFonts w:ascii="Arial" w:hAnsi="Arial" w:cs="Arial"/>
                                <w:b/>
                                <w:sz w:val="23"/>
                                <w:szCs w:val="23"/>
                                <w:lang w:val="es-ES"/>
                              </w:rPr>
                              <w:t>188/2019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A4BF71D" id="Rectángulo redondeado 69" o:spid="_x0000_s1026" style="position:absolute;left:0;text-align:left;margin-left:269.25pt;margin-top:1.5pt;width:300.05pt;height:6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6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" strokeweight="3pt">
                <v:stroke linestyle="thinThin"/>
                <v:textbox>
                  <w:txbxContent>
                    <w:p w:rsidR="008E260A" w:rsidRDefault="008E260A" w:rsidP="008E260A">
                      <w:pPr>
                        <w:ind w:left="1418" w:hanging="1418"/>
                        <w:rPr>
                          <w:rFonts w:ascii="Arial" w:eastAsia="Calibri" w:hAnsi="Arial" w:cs="Arial"/>
                          <w:b/>
                          <w:sz w:val="21"/>
                          <w:szCs w:val="21"/>
                          <w:u w:val="single"/>
                          <w:lang w:val="es-MX"/>
                        </w:rPr>
                      </w:pPr>
                      <w:r>
                        <w:rPr>
                          <w:rFonts w:ascii="Arial" w:eastAsia="Calibri" w:hAnsi="Arial" w:cs="Arial"/>
                          <w:b/>
                          <w:sz w:val="21"/>
                          <w:szCs w:val="21"/>
                          <w:lang w:val="es-MX"/>
                        </w:rPr>
                        <w:t xml:space="preserve">Dependencia: </w:t>
                      </w:r>
                      <w:r w:rsidRPr="0021541D">
                        <w:rPr>
                          <w:rFonts w:ascii="Arial" w:eastAsia="Calibri" w:hAnsi="Arial" w:cs="Arial"/>
                          <w:b/>
                          <w:sz w:val="21"/>
                          <w:szCs w:val="21"/>
                          <w:u w:val="single"/>
                          <w:lang w:val="es-MX"/>
                        </w:rPr>
                        <w:t>Dirección</w:t>
                      </w:r>
                      <w:r>
                        <w:rPr>
                          <w:rFonts w:ascii="Arial" w:eastAsia="Calibri" w:hAnsi="Arial" w:cs="Arial"/>
                          <w:b/>
                          <w:sz w:val="21"/>
                          <w:szCs w:val="21"/>
                          <w:u w:val="single"/>
                          <w:lang w:val="es-MX"/>
                        </w:rPr>
                        <w:t xml:space="preserve"> General de Servicios Públicos</w:t>
                      </w:r>
                      <w:r w:rsidRPr="0021541D">
                        <w:rPr>
                          <w:rFonts w:ascii="Arial" w:eastAsia="Calibri" w:hAnsi="Arial" w:cs="Arial"/>
                          <w:b/>
                          <w:sz w:val="21"/>
                          <w:szCs w:val="21"/>
                          <w:u w:val="single"/>
                          <w:lang w:val="es-MX"/>
                        </w:rPr>
                        <w:t xml:space="preserve">   </w:t>
                      </w:r>
                    </w:p>
                    <w:p w:rsidR="008E260A" w:rsidRPr="0021541D" w:rsidRDefault="008E260A" w:rsidP="008E260A">
                      <w:pPr>
                        <w:ind w:left="1418" w:hanging="1418"/>
                        <w:rPr>
                          <w:rFonts w:ascii="Arial" w:eastAsia="Calibri" w:hAnsi="Arial" w:cs="Arial"/>
                          <w:b/>
                          <w:sz w:val="21"/>
                          <w:szCs w:val="21"/>
                          <w:u w:val="single"/>
                          <w:lang w:val="es-MX"/>
                        </w:rPr>
                      </w:pPr>
                      <w:r w:rsidRPr="0021541D">
                        <w:rPr>
                          <w:rFonts w:ascii="Arial" w:eastAsia="Calibri" w:hAnsi="Arial" w:cs="Arial"/>
                          <w:b/>
                          <w:sz w:val="21"/>
                          <w:szCs w:val="21"/>
                          <w:u w:val="single"/>
                          <w:lang w:val="es-MX"/>
                        </w:rPr>
                        <w:t xml:space="preserve">                                                </w:t>
                      </w:r>
                      <w:r>
                        <w:rPr>
                          <w:rFonts w:ascii="Arial" w:eastAsia="Calibri" w:hAnsi="Arial" w:cs="Arial"/>
                          <w:b/>
                          <w:sz w:val="21"/>
                          <w:szCs w:val="21"/>
                          <w:u w:val="single"/>
                          <w:lang w:val="es-MX"/>
                        </w:rPr>
                        <w:t xml:space="preserve">  </w:t>
                      </w:r>
                    </w:p>
                    <w:p w:rsidR="008E260A" w:rsidRPr="00173D50" w:rsidRDefault="008E260A" w:rsidP="008E260A">
                      <w:pPr>
                        <w:rPr>
                          <w:rFonts w:ascii="Arial" w:hAnsi="Arial" w:cs="Arial"/>
                          <w:b/>
                          <w:sz w:val="21"/>
                          <w:szCs w:val="21"/>
                          <w:lang w:val="es-ES"/>
                        </w:rPr>
                      </w:pPr>
                      <w:r w:rsidRPr="00173D50">
                        <w:rPr>
                          <w:rFonts w:ascii="Arial" w:hAnsi="Arial" w:cs="Arial"/>
                          <w:b/>
                          <w:sz w:val="21"/>
                          <w:szCs w:val="21"/>
                          <w:lang w:val="es-ES"/>
                        </w:rPr>
                        <w:t>No. Oficio:</w:t>
                      </w:r>
                      <w:r>
                        <w:rPr>
                          <w:rFonts w:ascii="Arial" w:hAnsi="Arial" w:cs="Arial"/>
                          <w:sz w:val="21"/>
                          <w:szCs w:val="21"/>
                          <w:lang w:val="es-ES"/>
                        </w:rPr>
                        <w:t xml:space="preserve"> </w:t>
                      </w:r>
                      <w:r>
                        <w:rPr>
                          <w:rFonts w:ascii="Arial" w:hAnsi="Arial" w:cs="Arial"/>
                          <w:b/>
                          <w:sz w:val="23"/>
                          <w:szCs w:val="23"/>
                          <w:lang w:val="es-ES"/>
                        </w:rPr>
                        <w:t>DGSP/</w:t>
                      </w:r>
                      <w:r w:rsidRPr="00716D2A">
                        <w:rPr>
                          <w:rFonts w:ascii="Arial" w:hAnsi="Arial" w:cs="Arial"/>
                          <w:b/>
                          <w:sz w:val="23"/>
                          <w:szCs w:val="23"/>
                          <w:lang w:val="es-ES"/>
                        </w:rPr>
                        <w:t>188/2019</w:t>
                      </w:r>
                    </w:p>
                  </w:txbxContent>
                </v:textbox>
                <w10:wrap type="square" anchorx="page"/>
              </v:roundrect>
            </w:pict>
          </mc:Fallback>
        </mc:AlternateContent>
      </w:r>
    </w:p>
    <w:p w:rsidR="00024880" w:rsidRDefault="00024880" w:rsidP="00716D2A">
      <w:pPr>
        <w:pStyle w:val="Ttulo8"/>
        <w:tabs>
          <w:tab w:val="right" w:pos="8842"/>
        </w:tabs>
        <w:spacing w:line="360" w:lineRule="auto"/>
        <w:jc w:val="right"/>
        <w:rPr>
          <w:rFonts w:ascii="Arial" w:hAnsi="Arial" w:cs="Arial"/>
          <w:bCs/>
          <w:i w:val="0"/>
          <w:szCs w:val="22"/>
        </w:rPr>
      </w:pPr>
    </w:p>
    <w:p w:rsidR="00B6226E" w:rsidRPr="00716D2A" w:rsidRDefault="00441DE8" w:rsidP="00716D2A">
      <w:pPr>
        <w:pStyle w:val="Ttulo8"/>
        <w:tabs>
          <w:tab w:val="right" w:pos="8842"/>
        </w:tabs>
        <w:spacing w:line="360" w:lineRule="auto"/>
        <w:jc w:val="right"/>
        <w:rPr>
          <w:rFonts w:ascii="Arial" w:hAnsi="Arial" w:cs="Arial"/>
          <w:bCs/>
          <w:i w:val="0"/>
          <w:szCs w:val="22"/>
        </w:rPr>
      </w:pPr>
      <w:r>
        <w:rPr>
          <w:rFonts w:ascii="Arial" w:hAnsi="Arial" w:cs="Arial"/>
          <w:bCs/>
          <w:i w:val="0"/>
          <w:szCs w:val="22"/>
        </w:rPr>
        <w:t>Ciudad J</w:t>
      </w:r>
      <w:r w:rsidR="00573564">
        <w:rPr>
          <w:rFonts w:ascii="Arial" w:hAnsi="Arial" w:cs="Arial"/>
          <w:bCs/>
          <w:i w:val="0"/>
          <w:szCs w:val="22"/>
        </w:rPr>
        <w:t xml:space="preserve">uárez Chihuahua a 09 </w:t>
      </w:r>
      <w:r w:rsidR="00BF6F5E">
        <w:rPr>
          <w:rFonts w:ascii="Arial" w:hAnsi="Arial" w:cs="Arial"/>
          <w:bCs/>
          <w:i w:val="0"/>
          <w:szCs w:val="22"/>
        </w:rPr>
        <w:t xml:space="preserve">de abril </w:t>
      </w:r>
      <w:r w:rsidR="00924B8E">
        <w:rPr>
          <w:rFonts w:ascii="Arial" w:hAnsi="Arial" w:cs="Arial"/>
          <w:bCs/>
          <w:i w:val="0"/>
          <w:szCs w:val="22"/>
        </w:rPr>
        <w:t>de 2019</w:t>
      </w:r>
    </w:p>
    <w:p w:rsidR="00024880" w:rsidRDefault="00024880" w:rsidP="00716D2A">
      <w:pPr>
        <w:spacing w:line="360" w:lineRule="auto"/>
        <w:jc w:val="both"/>
        <w:rPr>
          <w:rFonts w:ascii="Arial" w:hAnsi="Arial" w:cs="Arial"/>
          <w:b/>
          <w:bCs/>
          <w:lang w:val="es-ES"/>
        </w:rPr>
      </w:pPr>
    </w:p>
    <w:p w:rsidR="00B6226E" w:rsidRDefault="00924B8E" w:rsidP="00716D2A">
      <w:pPr>
        <w:spacing w:line="360" w:lineRule="auto"/>
        <w:jc w:val="both"/>
        <w:rPr>
          <w:rFonts w:ascii="Arial" w:hAnsi="Arial" w:cs="Arial"/>
          <w:b/>
          <w:bCs/>
          <w:lang w:val="es-ES"/>
        </w:rPr>
      </w:pPr>
      <w:r>
        <w:rPr>
          <w:rFonts w:ascii="Arial" w:hAnsi="Arial" w:cs="Arial"/>
          <w:b/>
          <w:bCs/>
          <w:lang w:val="es-ES"/>
        </w:rPr>
        <w:t>ING. VICTOR MANUEL ORTEGA AGUILAR</w:t>
      </w:r>
    </w:p>
    <w:p w:rsidR="00B6226E" w:rsidRDefault="00924B8E" w:rsidP="00716D2A">
      <w:pPr>
        <w:spacing w:line="360" w:lineRule="auto"/>
        <w:jc w:val="both"/>
        <w:rPr>
          <w:rFonts w:ascii="Arial" w:hAnsi="Arial" w:cs="Arial"/>
          <w:b/>
          <w:bCs/>
          <w:lang w:val="es-ES"/>
        </w:rPr>
      </w:pPr>
      <w:r>
        <w:rPr>
          <w:rFonts w:ascii="Arial" w:hAnsi="Arial" w:cs="Arial"/>
          <w:b/>
          <w:bCs/>
          <w:lang w:val="es-ES"/>
        </w:rPr>
        <w:t>OFICIAL MAYOR</w:t>
      </w:r>
    </w:p>
    <w:p w:rsidR="00924B8E" w:rsidRPr="00924B8E" w:rsidRDefault="00924B8E" w:rsidP="00716D2A">
      <w:pPr>
        <w:spacing w:line="360" w:lineRule="auto"/>
        <w:jc w:val="both"/>
        <w:rPr>
          <w:rFonts w:ascii="Arial" w:hAnsi="Arial" w:cs="Arial"/>
          <w:b/>
          <w:bCs/>
          <w:lang w:val="es-ES"/>
        </w:rPr>
      </w:pPr>
      <w:r>
        <w:rPr>
          <w:rFonts w:ascii="Arial" w:hAnsi="Arial" w:cs="Arial"/>
          <w:b/>
          <w:bCs/>
          <w:lang w:val="es-ES"/>
        </w:rPr>
        <w:t>PRESENTE. –</w:t>
      </w:r>
    </w:p>
    <w:p w:rsidR="00716D2A" w:rsidRDefault="00A4451B" w:rsidP="00716D2A">
      <w:pPr>
        <w:spacing w:line="360" w:lineRule="auto"/>
        <w:ind w:firstLine="720"/>
        <w:jc w:val="both"/>
        <w:rPr>
          <w:rFonts w:ascii="Arial" w:hAnsi="Arial" w:cs="Arial"/>
          <w:lang w:val="es-ES"/>
        </w:rPr>
      </w:pPr>
      <w:r>
        <w:rPr>
          <w:rFonts w:ascii="Arial" w:hAnsi="Arial" w:cs="Arial"/>
          <w:lang w:val="es-ES"/>
        </w:rPr>
        <w:t xml:space="preserve">Solicito </w:t>
      </w:r>
      <w:r w:rsidR="0020322A" w:rsidRPr="00BF6F5E">
        <w:rPr>
          <w:rFonts w:ascii="Arial" w:hAnsi="Arial" w:cs="Arial"/>
          <w:lang w:val="es-ES"/>
        </w:rPr>
        <w:t>su colaboración para someter ante el Comité de Adquisiciones, Arrendamientos y Servicios del Municipio de Juárez</w:t>
      </w:r>
      <w:r w:rsidR="00716D2A">
        <w:rPr>
          <w:rFonts w:ascii="Arial" w:hAnsi="Arial" w:cs="Arial"/>
          <w:lang w:val="es-ES"/>
        </w:rPr>
        <w:t xml:space="preserve"> </w:t>
      </w:r>
      <w:r>
        <w:rPr>
          <w:rFonts w:ascii="Arial" w:hAnsi="Arial" w:cs="Arial"/>
          <w:lang w:val="es-ES"/>
        </w:rPr>
        <w:t>la autorización par</w:t>
      </w:r>
      <w:r w:rsidR="00573564">
        <w:rPr>
          <w:rFonts w:ascii="Arial" w:hAnsi="Arial" w:cs="Arial"/>
          <w:lang w:val="es-ES"/>
        </w:rPr>
        <w:t>a la el</w:t>
      </w:r>
      <w:r w:rsidR="00716D2A">
        <w:rPr>
          <w:rFonts w:ascii="Arial" w:hAnsi="Arial" w:cs="Arial"/>
          <w:lang w:val="es-ES"/>
        </w:rPr>
        <w:t xml:space="preserve">aboración de un contrato, el cual es requerido por la Dirección de Alumbrado Público para llevar acabo la adquisición de material eléctrico indispensable para realizar </w:t>
      </w:r>
      <w:r w:rsidR="00573564">
        <w:rPr>
          <w:rFonts w:ascii="Arial" w:hAnsi="Arial" w:cs="Arial"/>
          <w:lang w:val="es-ES"/>
        </w:rPr>
        <w:t>labores de mantenimiento e instalación de la red de alumbrado público de la ciudad.</w:t>
      </w:r>
    </w:p>
    <w:p w:rsidR="0020322A" w:rsidRDefault="00B31B7E" w:rsidP="00716D2A">
      <w:pPr>
        <w:spacing w:line="360" w:lineRule="auto"/>
        <w:ind w:firstLine="720"/>
        <w:jc w:val="both"/>
        <w:rPr>
          <w:rFonts w:ascii="Arial" w:hAnsi="Arial" w:cs="Arial"/>
          <w:lang w:val="es-ES"/>
        </w:rPr>
      </w:pPr>
      <w:r>
        <w:rPr>
          <w:rFonts w:ascii="Arial" w:hAnsi="Arial" w:cs="Arial"/>
          <w:lang w:val="es-ES"/>
        </w:rPr>
        <w:t xml:space="preserve">Se adjunta </w:t>
      </w:r>
      <w:r w:rsidR="00695E87">
        <w:rPr>
          <w:rFonts w:ascii="Arial" w:hAnsi="Arial" w:cs="Arial"/>
          <w:lang w:val="es-ES"/>
        </w:rPr>
        <w:t>a este documento</w:t>
      </w:r>
      <w:r w:rsidR="00F5092E">
        <w:rPr>
          <w:rFonts w:ascii="Arial" w:hAnsi="Arial" w:cs="Arial"/>
          <w:lang w:val="es-ES"/>
        </w:rPr>
        <w:t xml:space="preserve"> expediente técnico,</w:t>
      </w:r>
      <w:r w:rsidR="003C110D">
        <w:rPr>
          <w:rFonts w:ascii="Arial" w:hAnsi="Arial" w:cs="Arial"/>
          <w:lang w:val="es-ES"/>
        </w:rPr>
        <w:t xml:space="preserve"> constancia de verif</w:t>
      </w:r>
      <w:r w:rsidR="00716D2A">
        <w:rPr>
          <w:rFonts w:ascii="Arial" w:hAnsi="Arial" w:cs="Arial"/>
          <w:lang w:val="es-ES"/>
        </w:rPr>
        <w:t xml:space="preserve">icación presupuestal número 120 </w:t>
      </w:r>
      <w:r w:rsidR="003C110D">
        <w:rPr>
          <w:rFonts w:ascii="Arial" w:hAnsi="Arial" w:cs="Arial"/>
          <w:lang w:val="es-ES"/>
        </w:rPr>
        <w:t>por un</w:t>
      </w:r>
      <w:r w:rsidR="00716D2A">
        <w:rPr>
          <w:rFonts w:ascii="Arial" w:hAnsi="Arial" w:cs="Arial"/>
          <w:lang w:val="es-ES"/>
        </w:rPr>
        <w:t xml:space="preserve"> monto de $ 1,200,000.00 (Un Millón Doscientos </w:t>
      </w:r>
      <w:r w:rsidR="003C110D">
        <w:rPr>
          <w:rFonts w:ascii="Arial" w:hAnsi="Arial" w:cs="Arial"/>
          <w:lang w:val="es-ES"/>
        </w:rPr>
        <w:t xml:space="preserve">Mil Pesos 00/100 M.N.), recurso de fondos municipales, gasto corriente. Así como sondeo de mercado </w:t>
      </w:r>
      <w:r w:rsidR="00EB5BC2">
        <w:rPr>
          <w:rFonts w:ascii="Arial" w:hAnsi="Arial" w:cs="Arial"/>
          <w:lang w:val="es-ES"/>
        </w:rPr>
        <w:t xml:space="preserve">y tres cotizaciones propias de lo requerido. </w:t>
      </w:r>
    </w:p>
    <w:p w:rsidR="0020322A" w:rsidRPr="00110B5B" w:rsidRDefault="0020322A" w:rsidP="00716D2A">
      <w:pPr>
        <w:spacing w:line="360" w:lineRule="auto"/>
        <w:jc w:val="both"/>
        <w:rPr>
          <w:rFonts w:ascii="Arial" w:hAnsi="Arial" w:cs="Arial"/>
          <w:szCs w:val="23"/>
          <w:lang w:val="es-ES"/>
        </w:rPr>
      </w:pPr>
      <w:r w:rsidRPr="00110B5B">
        <w:rPr>
          <w:rFonts w:ascii="Arial" w:hAnsi="Arial" w:cs="Arial"/>
          <w:lang w:val="es-ES"/>
        </w:rPr>
        <w:tab/>
      </w:r>
      <w:r>
        <w:rPr>
          <w:rFonts w:ascii="Arial" w:hAnsi="Arial" w:cs="Arial"/>
          <w:lang w:val="es-ES"/>
        </w:rPr>
        <w:t>Agradeciendo de antemano su apoyo</w:t>
      </w:r>
      <w:r w:rsidRPr="00110B5B">
        <w:rPr>
          <w:rFonts w:ascii="Arial" w:hAnsi="Arial" w:cs="Arial"/>
          <w:lang w:val="es-ES"/>
        </w:rPr>
        <w:t xml:space="preserve">, </w:t>
      </w:r>
      <w:r>
        <w:rPr>
          <w:rFonts w:ascii="Arial" w:hAnsi="Arial" w:cs="Arial"/>
          <w:lang w:val="es-ES"/>
        </w:rPr>
        <w:t>me despido quedando a sus órdenes</w:t>
      </w:r>
      <w:r w:rsidRPr="00110B5B">
        <w:rPr>
          <w:rFonts w:ascii="Arial" w:hAnsi="Arial" w:cs="Arial"/>
          <w:lang w:val="es-ES"/>
        </w:rPr>
        <w:t>.</w:t>
      </w:r>
    </w:p>
    <w:p w:rsidR="00B6226E" w:rsidRPr="00255763" w:rsidRDefault="00B6226E" w:rsidP="00716D2A">
      <w:pPr>
        <w:spacing w:line="360" w:lineRule="auto"/>
        <w:rPr>
          <w:rFonts w:ascii="Arial" w:hAnsi="Arial" w:cs="Arial"/>
          <w:b/>
          <w:lang w:val="es-ES"/>
        </w:rPr>
      </w:pPr>
    </w:p>
    <w:p w:rsidR="00B6226E" w:rsidRPr="00255763" w:rsidRDefault="00B6226E" w:rsidP="00716D2A">
      <w:pPr>
        <w:spacing w:line="360" w:lineRule="auto"/>
        <w:jc w:val="center"/>
        <w:rPr>
          <w:rFonts w:ascii="Arial" w:hAnsi="Arial" w:cs="Arial"/>
          <w:b/>
          <w:lang w:val="es-ES"/>
        </w:rPr>
      </w:pPr>
      <w:r w:rsidRPr="00255763">
        <w:rPr>
          <w:rFonts w:ascii="Arial" w:hAnsi="Arial" w:cs="Arial"/>
          <w:b/>
          <w:lang w:val="es-ES"/>
        </w:rPr>
        <w:t>A</w:t>
      </w:r>
      <w:r w:rsidR="005A0D51">
        <w:rPr>
          <w:rFonts w:ascii="Arial" w:hAnsi="Arial" w:cs="Arial"/>
          <w:b/>
          <w:lang w:val="es-ES"/>
        </w:rPr>
        <w:t xml:space="preserve"> </w:t>
      </w:r>
      <w:r w:rsidRPr="00255763">
        <w:rPr>
          <w:rFonts w:ascii="Arial" w:hAnsi="Arial" w:cs="Arial"/>
          <w:b/>
          <w:lang w:val="es-ES"/>
        </w:rPr>
        <w:t>T</w:t>
      </w:r>
      <w:r w:rsidR="005A0D51">
        <w:rPr>
          <w:rFonts w:ascii="Arial" w:hAnsi="Arial" w:cs="Arial"/>
          <w:b/>
          <w:lang w:val="es-ES"/>
        </w:rPr>
        <w:t xml:space="preserve"> </w:t>
      </w:r>
      <w:r w:rsidRPr="00255763">
        <w:rPr>
          <w:rFonts w:ascii="Arial" w:hAnsi="Arial" w:cs="Arial"/>
          <w:b/>
          <w:lang w:val="es-ES"/>
        </w:rPr>
        <w:t>E</w:t>
      </w:r>
      <w:r w:rsidR="005A0D51">
        <w:rPr>
          <w:rFonts w:ascii="Arial" w:hAnsi="Arial" w:cs="Arial"/>
          <w:b/>
          <w:lang w:val="es-ES"/>
        </w:rPr>
        <w:t xml:space="preserve"> </w:t>
      </w:r>
      <w:r w:rsidRPr="00255763">
        <w:rPr>
          <w:rFonts w:ascii="Arial" w:hAnsi="Arial" w:cs="Arial"/>
          <w:b/>
          <w:lang w:val="es-ES"/>
        </w:rPr>
        <w:t>N</w:t>
      </w:r>
      <w:r w:rsidR="005A0D51">
        <w:rPr>
          <w:rFonts w:ascii="Arial" w:hAnsi="Arial" w:cs="Arial"/>
          <w:b/>
          <w:lang w:val="es-ES"/>
        </w:rPr>
        <w:t xml:space="preserve"> </w:t>
      </w:r>
      <w:r w:rsidRPr="00255763">
        <w:rPr>
          <w:rFonts w:ascii="Arial" w:hAnsi="Arial" w:cs="Arial"/>
          <w:b/>
          <w:lang w:val="es-ES"/>
        </w:rPr>
        <w:t>T</w:t>
      </w:r>
      <w:r w:rsidR="005A0D51">
        <w:rPr>
          <w:rFonts w:ascii="Arial" w:hAnsi="Arial" w:cs="Arial"/>
          <w:b/>
          <w:lang w:val="es-ES"/>
        </w:rPr>
        <w:t xml:space="preserve"> </w:t>
      </w:r>
      <w:r w:rsidRPr="00255763">
        <w:rPr>
          <w:rFonts w:ascii="Arial" w:hAnsi="Arial" w:cs="Arial"/>
          <w:b/>
          <w:lang w:val="es-ES"/>
        </w:rPr>
        <w:t>A</w:t>
      </w:r>
      <w:r w:rsidR="005A0D51">
        <w:rPr>
          <w:rFonts w:ascii="Arial" w:hAnsi="Arial" w:cs="Arial"/>
          <w:b/>
          <w:lang w:val="es-ES"/>
        </w:rPr>
        <w:t xml:space="preserve"> </w:t>
      </w:r>
      <w:r w:rsidRPr="00255763">
        <w:rPr>
          <w:rFonts w:ascii="Arial" w:hAnsi="Arial" w:cs="Arial"/>
          <w:b/>
          <w:lang w:val="es-ES"/>
        </w:rPr>
        <w:t>M</w:t>
      </w:r>
      <w:r w:rsidR="005A0D51">
        <w:rPr>
          <w:rFonts w:ascii="Arial" w:hAnsi="Arial" w:cs="Arial"/>
          <w:b/>
          <w:lang w:val="es-ES"/>
        </w:rPr>
        <w:t xml:space="preserve"> </w:t>
      </w:r>
      <w:r w:rsidRPr="00255763">
        <w:rPr>
          <w:rFonts w:ascii="Arial" w:hAnsi="Arial" w:cs="Arial"/>
          <w:b/>
          <w:lang w:val="es-ES"/>
        </w:rPr>
        <w:t>E</w:t>
      </w:r>
      <w:r w:rsidR="005A0D51">
        <w:rPr>
          <w:rFonts w:ascii="Arial" w:hAnsi="Arial" w:cs="Arial"/>
          <w:b/>
          <w:lang w:val="es-ES"/>
        </w:rPr>
        <w:t xml:space="preserve"> </w:t>
      </w:r>
      <w:r w:rsidRPr="00255763">
        <w:rPr>
          <w:rFonts w:ascii="Arial" w:hAnsi="Arial" w:cs="Arial"/>
          <w:b/>
          <w:lang w:val="es-ES"/>
        </w:rPr>
        <w:t>N</w:t>
      </w:r>
      <w:r w:rsidR="005A0D51">
        <w:rPr>
          <w:rFonts w:ascii="Arial" w:hAnsi="Arial" w:cs="Arial"/>
          <w:b/>
          <w:lang w:val="es-ES"/>
        </w:rPr>
        <w:t xml:space="preserve"> </w:t>
      </w:r>
      <w:r w:rsidRPr="00255763">
        <w:rPr>
          <w:rFonts w:ascii="Arial" w:hAnsi="Arial" w:cs="Arial"/>
          <w:b/>
          <w:lang w:val="es-ES"/>
        </w:rPr>
        <w:t>T</w:t>
      </w:r>
      <w:r w:rsidR="005A0D51">
        <w:rPr>
          <w:rFonts w:ascii="Arial" w:hAnsi="Arial" w:cs="Arial"/>
          <w:b/>
          <w:lang w:val="es-ES"/>
        </w:rPr>
        <w:t xml:space="preserve"> </w:t>
      </w:r>
      <w:r w:rsidRPr="00255763">
        <w:rPr>
          <w:rFonts w:ascii="Arial" w:hAnsi="Arial" w:cs="Arial"/>
          <w:b/>
          <w:lang w:val="es-ES"/>
        </w:rPr>
        <w:t>E</w:t>
      </w:r>
      <w:r w:rsidR="005A0D51">
        <w:rPr>
          <w:rFonts w:ascii="Arial" w:hAnsi="Arial" w:cs="Arial"/>
          <w:b/>
          <w:lang w:val="es-ES"/>
        </w:rPr>
        <w:t>,</w:t>
      </w:r>
    </w:p>
    <w:p w:rsidR="00B6226E" w:rsidRPr="00255763" w:rsidRDefault="00B6226E" w:rsidP="00716D2A">
      <w:pPr>
        <w:spacing w:line="360" w:lineRule="auto"/>
        <w:jc w:val="center"/>
        <w:rPr>
          <w:rFonts w:ascii="Arial" w:hAnsi="Arial" w:cs="Arial"/>
          <w:b/>
          <w:lang w:val="es-ES"/>
        </w:rPr>
      </w:pPr>
    </w:p>
    <w:p w:rsidR="00E85DDC" w:rsidRPr="00255763" w:rsidRDefault="00E85DDC" w:rsidP="00716D2A">
      <w:pPr>
        <w:spacing w:line="360" w:lineRule="auto"/>
        <w:rPr>
          <w:rFonts w:ascii="Arial" w:hAnsi="Arial" w:cs="Arial"/>
          <w:b/>
          <w:lang w:val="es-ES"/>
        </w:rPr>
      </w:pPr>
    </w:p>
    <w:p w:rsidR="00B6226E" w:rsidRPr="00255763" w:rsidRDefault="00B6226E" w:rsidP="00716D2A">
      <w:pPr>
        <w:spacing w:line="360" w:lineRule="auto"/>
        <w:jc w:val="center"/>
        <w:rPr>
          <w:rFonts w:ascii="Arial" w:hAnsi="Arial" w:cs="Arial"/>
          <w:b/>
          <w:lang w:val="es-ES"/>
        </w:rPr>
      </w:pPr>
    </w:p>
    <w:p w:rsidR="00B6226E" w:rsidRPr="00255763" w:rsidRDefault="005A0D51" w:rsidP="00716D2A">
      <w:pPr>
        <w:spacing w:line="360" w:lineRule="auto"/>
        <w:jc w:val="center"/>
        <w:rPr>
          <w:rFonts w:ascii="Arial" w:hAnsi="Arial" w:cs="Arial"/>
          <w:b/>
          <w:lang w:val="es-ES"/>
        </w:rPr>
      </w:pPr>
      <w:r>
        <w:rPr>
          <w:rFonts w:ascii="Arial" w:hAnsi="Arial" w:cs="Arial"/>
          <w:b/>
          <w:lang w:val="es-ES"/>
        </w:rPr>
        <w:t xml:space="preserve">C. DANIEL PANDO MORALES </w:t>
      </w:r>
    </w:p>
    <w:p w:rsidR="00BF32A4" w:rsidRDefault="00FB4CB9" w:rsidP="00716D2A">
      <w:pPr>
        <w:spacing w:line="360" w:lineRule="auto"/>
        <w:jc w:val="center"/>
        <w:rPr>
          <w:rFonts w:ascii="Arial" w:hAnsi="Arial" w:cs="Arial"/>
          <w:b/>
          <w:bCs/>
          <w:szCs w:val="16"/>
          <w:lang w:val="es-MX"/>
        </w:rPr>
      </w:pPr>
      <w:r>
        <w:rPr>
          <w:rFonts w:ascii="Arial" w:hAnsi="Arial" w:cs="Arial"/>
          <w:b/>
          <w:bCs/>
          <w:szCs w:val="16"/>
          <w:lang w:val="es-MX"/>
        </w:rPr>
        <w:t>DIRECTOR GENERAL DE SERVICIOS PÚ</w:t>
      </w:r>
      <w:r w:rsidR="005A0D51">
        <w:rPr>
          <w:rFonts w:ascii="Arial" w:hAnsi="Arial" w:cs="Arial"/>
          <w:b/>
          <w:bCs/>
          <w:szCs w:val="16"/>
          <w:lang w:val="es-MX"/>
        </w:rPr>
        <w:t>BLICOS</w:t>
      </w:r>
    </w:p>
    <w:p w:rsidR="00CE4EC9" w:rsidRDefault="00CE4EC9" w:rsidP="00716D2A">
      <w:pPr>
        <w:spacing w:line="360" w:lineRule="auto"/>
        <w:jc w:val="center"/>
        <w:rPr>
          <w:rFonts w:ascii="Arial" w:hAnsi="Arial" w:cs="Arial"/>
          <w:b/>
          <w:bCs/>
          <w:szCs w:val="16"/>
          <w:lang w:val="es-MX"/>
        </w:rPr>
      </w:pPr>
    </w:p>
    <w:p w:rsidR="00CE4EC9" w:rsidRPr="00CE4EC9" w:rsidRDefault="00CE4EC9" w:rsidP="00716D2A">
      <w:pPr>
        <w:spacing w:line="360" w:lineRule="auto"/>
        <w:ind w:right="-941"/>
        <w:jc w:val="center"/>
        <w:rPr>
          <w:rFonts w:ascii="Bookman Old Style" w:hAnsi="Bookman Old Style"/>
          <w:i/>
          <w:lang w:val="es-MX" w:eastAsia="es-MX"/>
        </w:rPr>
      </w:pPr>
      <w:r w:rsidRPr="00CE4EC9">
        <w:rPr>
          <w:rFonts w:ascii="Bookman Old Style" w:hAnsi="Bookman Old Style"/>
          <w:i/>
          <w:lang w:val="es-MX"/>
        </w:rPr>
        <w:t>“2019, Año Internacional de las Lenguas Indígenas”</w:t>
      </w:r>
    </w:p>
    <w:p w:rsidR="00780086" w:rsidRDefault="00780086" w:rsidP="00716D2A">
      <w:pPr>
        <w:spacing w:line="360" w:lineRule="auto"/>
        <w:rPr>
          <w:rFonts w:ascii="Arial" w:hAnsi="Arial" w:cs="Arial"/>
          <w:b/>
          <w:sz w:val="28"/>
          <w:szCs w:val="18"/>
          <w:lang w:val="es-MX"/>
        </w:rPr>
      </w:pPr>
    </w:p>
    <w:p w:rsidR="00695E87" w:rsidRDefault="00695E87" w:rsidP="00716D2A">
      <w:pPr>
        <w:spacing w:line="360" w:lineRule="auto"/>
        <w:rPr>
          <w:rFonts w:ascii="Calibri" w:hAnsi="Calibri"/>
          <w:b/>
          <w:sz w:val="20"/>
          <w:szCs w:val="20"/>
          <w:lang w:val="es-MX"/>
        </w:rPr>
      </w:pPr>
    </w:p>
    <w:p w:rsidR="003306D7" w:rsidRDefault="005A0D51" w:rsidP="00E6126B">
      <w:pPr>
        <w:spacing w:line="360" w:lineRule="auto"/>
        <w:rPr>
          <w:rFonts w:ascii="Calibri" w:hAnsi="Calibri"/>
          <w:b/>
          <w:sz w:val="20"/>
          <w:szCs w:val="20"/>
          <w:lang w:val="es-MX"/>
        </w:rPr>
      </w:pPr>
      <w:r>
        <w:rPr>
          <w:rFonts w:ascii="Calibri" w:hAnsi="Calibri"/>
          <w:b/>
          <w:sz w:val="20"/>
          <w:szCs w:val="20"/>
          <w:lang w:val="es-MX"/>
        </w:rPr>
        <w:t>C.C.P.</w:t>
      </w:r>
      <w:r w:rsidR="00B6226E">
        <w:rPr>
          <w:rFonts w:ascii="Calibri" w:hAnsi="Calibri"/>
          <w:b/>
          <w:sz w:val="20"/>
          <w:szCs w:val="20"/>
          <w:lang w:val="es-MX"/>
        </w:rPr>
        <w:t xml:space="preserve"> ARCHIVO</w:t>
      </w:r>
      <w:r>
        <w:rPr>
          <w:rFonts w:ascii="Calibri" w:hAnsi="Calibri"/>
          <w:b/>
          <w:sz w:val="20"/>
          <w:szCs w:val="20"/>
          <w:lang w:val="es-MX"/>
        </w:rPr>
        <w:t>/MB</w:t>
      </w:r>
    </w:p>
    <w:tbl>
      <w:tblPr>
        <w:tblpPr w:leftFromText="180" w:rightFromText="180" w:vertAnchor="text" w:horzAnchor="margin" w:tblpXSpec="right" w:tblpY="-1910"/>
        <w:tblOverlap w:val="never"/>
        <w:tblW w:w="8848" w:type="dxa"/>
        <w:tblLook w:val="04A0" w:firstRow="1" w:lastRow="0" w:firstColumn="1" w:lastColumn="0" w:noHBand="0" w:noVBand="1"/>
      </w:tblPr>
      <w:tblGrid>
        <w:gridCol w:w="8848"/>
      </w:tblGrid>
      <w:tr w:rsidR="008E260A" w:rsidRPr="00770DC1" w:rsidTr="008E260A">
        <w:trPr>
          <w:trHeight w:val="95"/>
        </w:trPr>
        <w:tc>
          <w:tcPr>
            <w:tcW w:w="8848" w:type="dxa"/>
          </w:tcPr>
          <w:p w:rsidR="008E260A" w:rsidRDefault="008E260A" w:rsidP="008E260A">
            <w:pPr>
              <w:jc w:val="right"/>
              <w:rPr>
                <w:rFonts w:cs="Arial"/>
                <w:b/>
                <w:sz w:val="18"/>
                <w:szCs w:val="18"/>
                <w:lang w:val="es-ES"/>
              </w:rPr>
            </w:pPr>
            <w:r w:rsidRPr="00770DC1">
              <w:rPr>
                <w:rFonts w:ascii="Arial" w:hAnsi="Arial" w:cs="Arial"/>
                <w:b/>
                <w:sz w:val="18"/>
                <w:szCs w:val="18"/>
                <w:lang w:val="es-ES"/>
              </w:rPr>
              <w:lastRenderedPageBreak/>
              <w:t>DICTAMEN DE JUSTIFICACIÓN</w:t>
            </w:r>
            <w:r w:rsidRPr="008E260A">
              <w:rPr>
                <w:rFonts w:cs="Arial"/>
                <w:b/>
                <w:sz w:val="18"/>
                <w:szCs w:val="18"/>
                <w:lang w:val="es-ES"/>
              </w:rPr>
              <w:t xml:space="preserve">          </w:t>
            </w:r>
          </w:p>
          <w:p w:rsidR="008E260A" w:rsidRPr="008E260A" w:rsidRDefault="008E260A" w:rsidP="008E260A">
            <w:pPr>
              <w:jc w:val="right"/>
              <w:rPr>
                <w:rFonts w:cs="Arial"/>
                <w:b/>
                <w:sz w:val="18"/>
                <w:szCs w:val="18"/>
                <w:lang w:val="es-ES"/>
              </w:rPr>
            </w:pPr>
            <w:r w:rsidRPr="008E260A">
              <w:rPr>
                <w:rFonts w:cs="Arial"/>
                <w:b/>
                <w:sz w:val="18"/>
                <w:szCs w:val="18"/>
                <w:lang w:val="es-ES"/>
              </w:rPr>
              <w:t xml:space="preserve">CONTRATACIÓN PARA LA ADQUISICION DE MATERIALES ELECTRICOS </w:t>
            </w:r>
          </w:p>
          <w:p w:rsidR="008E260A" w:rsidRPr="008E260A" w:rsidRDefault="008E260A" w:rsidP="008E260A">
            <w:pPr>
              <w:jc w:val="right"/>
              <w:rPr>
                <w:rFonts w:cs="Arial"/>
                <w:b/>
                <w:sz w:val="18"/>
                <w:szCs w:val="18"/>
                <w:lang w:val="es-ES"/>
              </w:rPr>
            </w:pPr>
            <w:r w:rsidRPr="008E260A">
              <w:rPr>
                <w:rFonts w:cs="Arial"/>
                <w:b/>
                <w:sz w:val="18"/>
                <w:szCs w:val="18"/>
                <w:lang w:val="es-ES"/>
              </w:rPr>
              <w:t xml:space="preserve">PARA LA DIRECCION DE ALUMBRADO PUBLICO </w:t>
            </w:r>
          </w:p>
        </w:tc>
      </w:tr>
    </w:tbl>
    <w:tbl>
      <w:tblPr>
        <w:tblpPr w:leftFromText="180" w:rightFromText="180" w:vertAnchor="text" w:horzAnchor="margin" w:tblpY="-1460"/>
        <w:tblW w:w="0" w:type="auto"/>
        <w:tblLook w:val="04A0" w:firstRow="1" w:lastRow="0" w:firstColumn="1" w:lastColumn="0" w:noHBand="0" w:noVBand="1"/>
      </w:tblPr>
      <w:tblGrid>
        <w:gridCol w:w="2660"/>
        <w:gridCol w:w="6318"/>
      </w:tblGrid>
      <w:tr w:rsidR="008E260A" w:rsidRPr="00770DC1" w:rsidTr="008E260A">
        <w:tc>
          <w:tcPr>
            <w:tcW w:w="2660" w:type="dxa"/>
          </w:tcPr>
          <w:p w:rsidR="008E260A" w:rsidRPr="00770DC1" w:rsidRDefault="008E260A" w:rsidP="008E260A">
            <w:pPr>
              <w:jc w:val="both"/>
              <w:rPr>
                <w:rFonts w:ascii="Arial" w:hAnsi="Arial" w:cs="Arial"/>
                <w:sz w:val="14"/>
                <w:szCs w:val="14"/>
                <w:lang w:val="es-ES"/>
              </w:rPr>
            </w:pPr>
          </w:p>
        </w:tc>
        <w:tc>
          <w:tcPr>
            <w:tcW w:w="6318" w:type="dxa"/>
          </w:tcPr>
          <w:p w:rsidR="008E260A" w:rsidRPr="008E260A" w:rsidRDefault="008E260A" w:rsidP="008E260A">
            <w:pPr>
              <w:ind w:left="-108"/>
              <w:jc w:val="both"/>
              <w:rPr>
                <w:rFonts w:ascii="Arial" w:hAnsi="Arial" w:cs="Arial"/>
                <w:sz w:val="18"/>
                <w:szCs w:val="18"/>
                <w:lang w:val="es-ES"/>
              </w:rPr>
            </w:pPr>
          </w:p>
        </w:tc>
      </w:tr>
    </w:tbl>
    <w:p w:rsidR="00024880" w:rsidRDefault="00024880"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DICTAMEN DE JUSTIFICACIÓN PARA REALIZAR EL PROCEDIMIENTO DE ADJUDICACIÓN DIRECTA, POR EXCEPCIÓN A LA LICITACIÓN PÚBLICA, PARA LA CONTRATACIÓN PARA LA ADQUISICION DE MATERIAL ELECTRICO PARA EL EJERCICIO FISCAL 2019, CON FUNDAMENTO EN LOS ARTÍCULOS 72 Y 74 FRACCIÓN I, DE LA LEY DE ADQUISICIONES, ARRENDAMIENTOS Y CONTRATACIÓN DE SERVICIOS DEL ESTADO DE CHIHUAHUA, QUE EMITE EL DIRECTOR GENERAL DE SERVICIOS PUBLICOS, EN LO SUCESIVO “EL DIRECTOR”, DE CONFORMIDAD CON LO SIGUIENTE:</w:t>
      </w:r>
    </w:p>
    <w:p w:rsidR="008E260A" w:rsidRPr="008E260A" w:rsidRDefault="008E260A" w:rsidP="008E260A">
      <w:pPr>
        <w:spacing w:after="200"/>
        <w:jc w:val="center"/>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ANTECEDENTES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 xml:space="preserve">PRIMERO. </w:t>
      </w:r>
      <w:r w:rsidRPr="008E260A">
        <w:rPr>
          <w:rFonts w:ascii="Calibri" w:eastAsia="Times New Roman" w:hAnsi="Calibri" w:cs="Arial"/>
          <w:sz w:val="22"/>
          <w:szCs w:val="22"/>
          <w:lang w:val="es-MX" w:eastAsia="es-MX"/>
        </w:rPr>
        <w:t xml:space="preserve">“EL DIRECTOR” es una dependencia que forma parte de la administración del Municipio de Juárez, Chihuahua, y tiene por objeto </w:t>
      </w:r>
      <w:r w:rsidRPr="008E260A">
        <w:rPr>
          <w:rFonts w:ascii="Calibri" w:eastAsia="Times New Roman" w:hAnsi="Calibri" w:cs="Calibri"/>
          <w:sz w:val="22"/>
          <w:szCs w:val="22"/>
          <w:lang w:val="es-MX" w:eastAsia="es-MX"/>
        </w:rPr>
        <w:t>Planear y mantener en condiciones eficientes de operación los servicios públicos municipales, los bienes muebles e inmuebles y el equipamiento que son necesarios para ello</w:t>
      </w:r>
      <w:r w:rsidRPr="008E260A">
        <w:rPr>
          <w:rFonts w:ascii="Calibri" w:eastAsia="Times New Roman" w:hAnsi="Calibri" w:cs="Arial"/>
          <w:sz w:val="22"/>
          <w:szCs w:val="22"/>
          <w:lang w:val="es-MX" w:eastAsia="es-MX"/>
        </w:rPr>
        <w:t>, así como ejecutar las instrucciones expresas del Presidente en los asuntos determinados que le encomiende, entre otros, de conformidad con el Artículo 5 fracción VII del Reglamento Orgánico de la Administración Pública del Municipio de Juárez, acuerdo No. 005/2017 publicado en el periódico oficial del 28 de enero de 2017.</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 xml:space="preserve">SEGUNDO. </w:t>
      </w:r>
      <w:r w:rsidRPr="008E260A">
        <w:rPr>
          <w:rFonts w:ascii="Calibri" w:eastAsia="Times New Roman" w:hAnsi="Calibri" w:cs="Arial"/>
          <w:sz w:val="22"/>
          <w:szCs w:val="22"/>
          <w:lang w:val="es-MX" w:eastAsia="es-MX"/>
        </w:rPr>
        <w:t>Que mis facultades y obligaciones como Director General de Servicios Públicos de la Ciudad</w:t>
      </w:r>
      <w:r w:rsidRPr="008E260A">
        <w:rPr>
          <w:rFonts w:ascii="Calibri" w:eastAsia="Times New Roman" w:hAnsi="Calibri" w:cs="Arial"/>
          <w:bCs/>
          <w:sz w:val="22"/>
          <w:szCs w:val="22"/>
          <w:lang w:val="es-MX" w:eastAsia="es-MX"/>
        </w:rPr>
        <w:t xml:space="preserve">, se sustentan </w:t>
      </w:r>
      <w:r w:rsidRPr="008E260A">
        <w:rPr>
          <w:rFonts w:ascii="Calibri" w:eastAsia="Times New Roman" w:hAnsi="Calibri" w:cs="Arial"/>
          <w:sz w:val="22"/>
          <w:szCs w:val="22"/>
          <w:lang w:val="es-MX" w:eastAsia="es-MX"/>
        </w:rPr>
        <w:t>dentro de sus atribuciones de conformidad con el Artículo 86 del Reglamento Orgánico de la Administración Pública del Municipio de Juárez, entre otras; que a la letra señalan:</w:t>
      </w:r>
    </w:p>
    <w:p w:rsidR="008E260A" w:rsidRPr="008E260A" w:rsidRDefault="008E260A" w:rsidP="008E260A">
      <w:pPr>
        <w:spacing w:after="200"/>
        <w:ind w:left="1276"/>
        <w:jc w:val="both"/>
        <w:rPr>
          <w:rFonts w:ascii="Calibri" w:eastAsia="Times New Roman" w:hAnsi="Calibri" w:cs="Arial"/>
          <w:i/>
          <w:sz w:val="22"/>
          <w:szCs w:val="22"/>
          <w:lang w:val="es-MX" w:eastAsia="es-MX"/>
        </w:rPr>
      </w:pPr>
      <w:r w:rsidRPr="008E260A">
        <w:rPr>
          <w:rFonts w:ascii="Calibri" w:eastAsia="Times New Roman" w:hAnsi="Calibri" w:cs="Arial"/>
          <w:i/>
          <w:sz w:val="22"/>
          <w:szCs w:val="22"/>
          <w:lang w:val="es-MX" w:eastAsia="es-MX"/>
        </w:rPr>
        <w:t xml:space="preserve">I. </w:t>
      </w:r>
      <w:r w:rsidRPr="008E260A">
        <w:rPr>
          <w:rFonts w:ascii="Calibri" w:eastAsia="Times New Roman" w:hAnsi="Calibri" w:cs="Calibri"/>
          <w:sz w:val="22"/>
          <w:szCs w:val="22"/>
          <w:lang w:val="es-MX" w:eastAsia="es-MX"/>
        </w:rPr>
        <w:t>Planear y mantener en condiciones eficientes de operación los servicios públicos municipales, los bienes muebles e inmuebles y el equipamiento que son necesarios para ello.</w:t>
      </w:r>
    </w:p>
    <w:p w:rsidR="008E260A" w:rsidRPr="008E260A" w:rsidRDefault="008E260A" w:rsidP="008E260A">
      <w:pPr>
        <w:spacing w:after="200"/>
        <w:ind w:left="1276"/>
        <w:jc w:val="both"/>
        <w:rPr>
          <w:rFonts w:ascii="Calibri" w:eastAsia="Times New Roman" w:hAnsi="Calibri" w:cs="Arial"/>
          <w:i/>
          <w:sz w:val="22"/>
          <w:szCs w:val="22"/>
          <w:lang w:val="es-MX" w:eastAsia="es-MX"/>
        </w:rPr>
      </w:pPr>
      <w:r w:rsidRPr="008E260A">
        <w:rPr>
          <w:rFonts w:ascii="Calibri" w:eastAsia="Times New Roman" w:hAnsi="Calibri" w:cs="Arial"/>
          <w:i/>
          <w:sz w:val="22"/>
          <w:szCs w:val="22"/>
          <w:lang w:val="es-MX" w:eastAsia="es-MX"/>
        </w:rPr>
        <w:t>XIV. Brindar apoyo y asesoría a dichas Dependencias para el cumplimiento de sus objetivos.</w:t>
      </w: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 xml:space="preserve">TERCERO. </w:t>
      </w:r>
      <w:r w:rsidRPr="008E260A">
        <w:rPr>
          <w:rFonts w:ascii="Calibri" w:eastAsia="Times New Roman" w:hAnsi="Calibri" w:cs="Arial"/>
          <w:sz w:val="22"/>
          <w:szCs w:val="22"/>
          <w:lang w:val="es-MX" w:eastAsia="es-MX"/>
        </w:rPr>
        <w:t>El procedimiento de adjudicación directa se puede realizar de acuerdo a lo estipulado en los artículos 72 y 74 fracción I de la Ley de Adquisiciones, Arrendamientos y Contratación de Servicios del Estado de Chihuahua, y bajo la responsabilidad del titular del área, con sujeción a las formalidades que los mismos preceptos establecen, sin que se lleve el procedimiento de licitación pública y celebrar contratos mediante los procedimientos que establece la propia ley antes referida.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CUARTO.</w:t>
      </w:r>
      <w:r w:rsidRPr="008E260A">
        <w:rPr>
          <w:rFonts w:ascii="Calibri" w:eastAsia="Times New Roman" w:hAnsi="Calibri" w:cs="Arial"/>
          <w:sz w:val="22"/>
          <w:szCs w:val="22"/>
          <w:lang w:val="es-MX" w:eastAsia="es-MX"/>
        </w:rPr>
        <w:t xml:space="preserve"> De acuerdo a lo aquí señalado, se están buscando las mejores condiciones para que el Municipio de Juárez, realice la adquisición de materiales eléctricos de óptima calidad y en tiempo solicitado, para llevar a cabo labores de mantenimiento, reparación e instalación a la red de alumbrado público.</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Por lo que resulta indispensable, la emisión del presente Dictamen de Justificación de Adjudicación Directa, como excepción a la licitación pública.</w:t>
      </w:r>
    </w:p>
    <w:p w:rsidR="008E260A" w:rsidRPr="008E260A" w:rsidRDefault="008E260A" w:rsidP="008E260A">
      <w:pPr>
        <w:spacing w:after="200"/>
        <w:jc w:val="both"/>
        <w:rPr>
          <w:rFonts w:ascii="Calibri" w:eastAsia="Times New Roman" w:hAnsi="Calibri" w:cs="Arial"/>
          <w:sz w:val="22"/>
          <w:szCs w:val="22"/>
          <w:lang w:val="es-ES" w:eastAsia="es-MX"/>
        </w:rPr>
      </w:pPr>
      <w:r w:rsidRPr="008E260A">
        <w:rPr>
          <w:rFonts w:ascii="Calibri" w:eastAsia="Times New Roman" w:hAnsi="Calibri" w:cs="Arial"/>
          <w:b/>
          <w:sz w:val="22"/>
          <w:szCs w:val="22"/>
          <w:lang w:val="es-MX" w:eastAsia="es-MX"/>
        </w:rPr>
        <w:t>QUINTO</w:t>
      </w:r>
      <w:r w:rsidRPr="008E260A">
        <w:rPr>
          <w:rFonts w:ascii="Calibri" w:eastAsia="Times New Roman" w:hAnsi="Calibri" w:cs="Arial"/>
          <w:b/>
          <w:sz w:val="22"/>
          <w:szCs w:val="22"/>
          <w:lang w:val="es-ES" w:eastAsia="es-MX"/>
        </w:rPr>
        <w:t xml:space="preserve">. </w:t>
      </w:r>
      <w:r w:rsidRPr="008E260A">
        <w:rPr>
          <w:rFonts w:ascii="Calibri" w:eastAsia="Times New Roman" w:hAnsi="Calibri" w:cs="Arial"/>
          <w:b/>
          <w:sz w:val="22"/>
          <w:szCs w:val="22"/>
          <w:lang w:val="es-MX" w:eastAsia="es-MX"/>
        </w:rPr>
        <w:t xml:space="preserve">“EL DIRECTOR”, </w:t>
      </w:r>
      <w:r w:rsidRPr="008E260A">
        <w:rPr>
          <w:rFonts w:ascii="Calibri" w:eastAsia="Times New Roman" w:hAnsi="Calibri" w:cs="Arial"/>
          <w:sz w:val="22"/>
          <w:szCs w:val="22"/>
          <w:lang w:val="es-ES" w:eastAsia="es-MX"/>
        </w:rPr>
        <w:t xml:space="preserve">del Municipio de Juárez, atendiendo las necesidades para la contratación de la adquisición de material eléctrico, es que lleva a cabo la contratación mediante el Procedimiento de Adjudicación Directa, de conformidad al </w:t>
      </w:r>
      <w:r w:rsidRPr="008E260A">
        <w:rPr>
          <w:rFonts w:ascii="Calibri" w:eastAsia="Times New Roman" w:hAnsi="Calibri" w:cs="Arial"/>
          <w:sz w:val="22"/>
          <w:szCs w:val="22"/>
          <w:lang w:val="es-MX" w:eastAsia="es-MX"/>
        </w:rPr>
        <w:t>artículo 74, Fracción I de la Ley de Adquisiciones, Arrendamientos y Contratación de Servicios del Estado de Chihuahua.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 xml:space="preserve">FUNDAMENTACIÓN </w:t>
      </w:r>
      <w:r w:rsidRPr="008E260A">
        <w:rPr>
          <w:rFonts w:ascii="Calibri" w:eastAsia="Times New Roman" w:hAnsi="Calibri" w:cs="Arial"/>
          <w:sz w:val="22"/>
          <w:szCs w:val="22"/>
          <w:lang w:val="es-MX" w:eastAsia="es-MX"/>
        </w:rPr>
        <w:t xml:space="preserve">Con fundamento en lo dispuesto por el Reglamento Orgánico de la Administración Pública del Municipio de Juárez, Estado de Chihuahua, el cual tiene por objeto normar la estructura y funcionamiento de las Dependencias de la Administración Pública del Municipio de Juárez, para el despacho de los asuntos de su competencia, así como delimitar las atribuciones y ámbito de acción de </w:t>
      </w:r>
      <w:r w:rsidRPr="008E260A">
        <w:rPr>
          <w:rFonts w:ascii="Calibri" w:eastAsia="Times New Roman" w:hAnsi="Calibri" w:cs="Arial"/>
          <w:sz w:val="22"/>
          <w:szCs w:val="22"/>
          <w:lang w:val="es-MX" w:eastAsia="es-MX"/>
        </w:rPr>
        <w:lastRenderedPageBreak/>
        <w:t>conformidad con los artículos 115 de la Constitución Política de los Estados Unidos Mexicanos; así como 30 y 138 de la Constitución Política del Estado de Chihuahua, los Artículos 72 y 74 Fracción I  de la Ley de Adquisiciones, Arrendamientos, y Contratación de Servicios del Estado de Chihuahua; procedo a emitir Dictamen de Justificación de Adjudicación Directa por excepción a la Licitación Pública, para la Prestación de Servicios de Auditoria en las adquisiciones, arrendamientos, servicios y en su caso obra pública que se hayan realizado en el Ejercicio Fiscal 2018, fundándose y motivándose en los criterios de economía, eficiencia, eficacia, imparcialidad y honradez que aseguren las mejores condiciones para el Municipio de Juárez, Chihuahua, bajo el siguiente:</w:t>
      </w: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MARCO JURÍDICO</w:t>
      </w: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 xml:space="preserve">CONSTITUCIÓN POLÍTICA DE LOS ESTADOS UNIDOS MEXICANOS </w:t>
      </w:r>
    </w:p>
    <w:p w:rsidR="008E260A" w:rsidRPr="008E260A" w:rsidRDefault="008E260A" w:rsidP="008E260A">
      <w:pPr>
        <w:spacing w:after="200"/>
        <w:jc w:val="both"/>
        <w:rPr>
          <w:rFonts w:ascii="Calibri" w:eastAsia="Times New Roman" w:hAnsi="Calibri" w:cs="Arial"/>
          <w:bCs/>
          <w:sz w:val="22"/>
          <w:szCs w:val="22"/>
          <w:lang w:val="es-MX" w:eastAsia="es-MX"/>
        </w:rPr>
      </w:pPr>
      <w:r w:rsidRPr="008E260A">
        <w:rPr>
          <w:rFonts w:ascii="Calibri" w:eastAsia="Times New Roman" w:hAnsi="Calibri" w:cs="Arial"/>
          <w:bCs/>
          <w:sz w:val="22"/>
          <w:szCs w:val="22"/>
          <w:lang w:val="es-MX" w:eastAsia="es-MX"/>
        </w:rPr>
        <w:t xml:space="preserve">La Constitución Política de los Estados Unidos Mexicanos en su artículo 134, establece los </w:t>
      </w:r>
      <w:r w:rsidRPr="008E260A">
        <w:rPr>
          <w:rFonts w:ascii="Calibri" w:eastAsia="Times New Roman" w:hAnsi="Calibri" w:cs="Times New Roman"/>
          <w:sz w:val="22"/>
          <w:szCs w:val="22"/>
          <w:lang w:val="es-MX" w:eastAsia="es-MX"/>
        </w:rPr>
        <w:t>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8E260A" w:rsidRPr="008E260A" w:rsidRDefault="008E260A" w:rsidP="008E260A">
      <w:pPr>
        <w:spacing w:after="200"/>
        <w:jc w:val="both"/>
        <w:rPr>
          <w:rFonts w:ascii="Calibri" w:eastAsia="Times New Roman" w:hAnsi="Calibri" w:cs="Arial"/>
          <w:bCs/>
          <w:sz w:val="22"/>
          <w:szCs w:val="22"/>
          <w:lang w:val="es-MX" w:eastAsia="es-MX"/>
        </w:rPr>
      </w:pPr>
      <w:r w:rsidRPr="008E260A">
        <w:rPr>
          <w:rFonts w:ascii="Calibri" w:eastAsia="Times New Roman" w:hAnsi="Calibri" w:cs="Arial"/>
          <w:bCs/>
          <w:sz w:val="22"/>
          <w:szCs w:val="22"/>
          <w:lang w:val="es-MX" w:eastAsia="es-MX"/>
        </w:rPr>
        <w:t xml:space="preserve">Con el objetivo de asegurar las mejores condiciones disponibles en cuanto a precio, calidad, financiamiento, oportunidad y demás circunstancias pertinentes, a las bases derivadas del orden constitucional, prevén que las adquisiciones, arrendamientos y enajenaciones de todo tipo de bienes, prestación de servicios de cualquier naturaleza y la contratación de obra se adjudicarán o llevarán a cabo a través de licitaciones públicas. </w:t>
      </w:r>
    </w:p>
    <w:p w:rsidR="008E260A" w:rsidRPr="008E260A" w:rsidRDefault="008E260A" w:rsidP="008E260A">
      <w:pPr>
        <w:spacing w:after="200"/>
        <w:jc w:val="both"/>
        <w:rPr>
          <w:rFonts w:ascii="Calibri" w:eastAsia="Times New Roman" w:hAnsi="Calibri" w:cs="Arial"/>
          <w:bCs/>
          <w:sz w:val="22"/>
          <w:szCs w:val="22"/>
          <w:lang w:val="es-MX" w:eastAsia="es-MX"/>
        </w:rPr>
      </w:pPr>
      <w:r w:rsidRPr="008E260A">
        <w:rPr>
          <w:rFonts w:ascii="Calibri" w:eastAsia="Times New Roman" w:hAnsi="Calibri" w:cs="Arial"/>
          <w:bCs/>
          <w:sz w:val="22"/>
          <w:szCs w:val="22"/>
          <w:lang w:val="es-MX" w:eastAsia="es-MX"/>
        </w:rPr>
        <w:t xml:space="preserve">No obstante, la Constitución Política de los Estados Unidos Mexicanos, así como la Constitución Política del Estado Libre y Soberano de Chihuahua, permiten que los procedimientos de licitación pública, se puedan exceptuar, a través de mecanismos que, aseguren las condiciones referidas y cumplan los extremos de economía, eficacia, eficiencia, imparcialidad, y honradez. </w:t>
      </w:r>
    </w:p>
    <w:p w:rsidR="008E260A" w:rsidRPr="008E260A" w:rsidRDefault="008E260A" w:rsidP="008E260A">
      <w:pPr>
        <w:spacing w:after="200"/>
        <w:ind w:right="333"/>
        <w:jc w:val="both"/>
        <w:rPr>
          <w:rFonts w:ascii="Calibri" w:eastAsia="Times New Roman" w:hAnsi="Calibri" w:cs="Arial"/>
          <w:bCs/>
          <w:sz w:val="22"/>
          <w:szCs w:val="22"/>
          <w:lang w:val="es-MX" w:eastAsia="es-MX"/>
        </w:rPr>
      </w:pPr>
      <w:r w:rsidRPr="008E260A">
        <w:rPr>
          <w:rFonts w:ascii="Calibri" w:eastAsia="Times New Roman" w:hAnsi="Calibri" w:cs="Arial"/>
          <w:bCs/>
          <w:sz w:val="22"/>
          <w:szCs w:val="22"/>
          <w:lang w:val="es-MX" w:eastAsia="es-MX"/>
        </w:rPr>
        <w:t>El artículo 134 de la Constitución Política de los Estados Unidos Mexicanos, dispone lo siguiente:</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Arial"/>
          <w:i/>
          <w:iCs/>
          <w:sz w:val="22"/>
          <w:szCs w:val="22"/>
          <w:lang w:val="es-MX" w:eastAsia="es-MX"/>
        </w:rPr>
        <w:t xml:space="preserve">“Artículo 134.- </w:t>
      </w:r>
      <w:r w:rsidRPr="008E260A">
        <w:rPr>
          <w:rFonts w:ascii="Calibri" w:eastAsia="Times New Roman" w:hAnsi="Calibri" w:cs="Times New Roman"/>
          <w:sz w:val="22"/>
          <w:szCs w:val="22"/>
          <w:lang w:val="es-MX" w:eastAsia="es-MX"/>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rsidR="008E260A" w:rsidRPr="008E260A" w:rsidRDefault="008E260A" w:rsidP="008E260A">
      <w:pPr>
        <w:spacing w:after="200"/>
        <w:ind w:left="426" w:right="333"/>
        <w:jc w:val="both"/>
        <w:rPr>
          <w:rFonts w:ascii="Calibri" w:eastAsia="Times New Roman" w:hAnsi="Calibri" w:cs="Arial"/>
          <w:i/>
          <w:iCs/>
          <w:sz w:val="22"/>
          <w:szCs w:val="22"/>
          <w:lang w:val="es-MX" w:eastAsia="es-MX"/>
        </w:rPr>
      </w:pPr>
      <w:r w:rsidRPr="008E260A">
        <w:rPr>
          <w:rFonts w:ascii="Calibri" w:eastAsia="Times New Roman" w:hAnsi="Calibri" w:cs="Times New Roman"/>
          <w:sz w:val="22"/>
          <w:szCs w:val="22"/>
          <w:lang w:val="es-MX" w:eastAsia="es-MX"/>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lastRenderedPageBreak/>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Los servidores públicos serán responsables del cumplimiento de estas bases en los términos del Título Cuarto de esta Constitución.</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Las leyes, en sus respectivos ámbitos de aplicación, garantizarán el estricto cumplimiento de lo previsto en los dos párrafos anteriores, incluyendo el régimen de sanciones a que haya lugar.”</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 xml:space="preserve">LEY DE ADQUISICIONES, ARRENDAMIENTOS Y CONTRATACIÓN DE SERVICIOS DEL ESTADO DE CHIHUAHUA </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Se expide la Ley de Adquisiciones, Arrendamientos y Contratación de Servicios del Estado de Chihuahua, Última Reforma P.O.E. 2018.02.17/Decreto No LXV/EXLEY/0462/2018 II P.O. y sus disposiciones son de orden público, su observancia es general y obligatoria para el Estado y sus Municipios, y rige en materia de adquisiciones, arrendamientos y contratación de servicios, que realice la Administración Pública Estatal y Municipal.</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b/>
          <w:i/>
          <w:sz w:val="22"/>
          <w:szCs w:val="22"/>
          <w:lang w:val="es-MX" w:eastAsia="es-MX"/>
        </w:rPr>
        <w:t>Artículo 1.</w:t>
      </w:r>
      <w:r w:rsidRPr="008E260A">
        <w:rPr>
          <w:rFonts w:ascii="Calibri" w:eastAsia="Times New Roman" w:hAnsi="Calibri" w:cs="Times New Roman"/>
          <w:sz w:val="22"/>
          <w:szCs w:val="22"/>
          <w:lang w:val="es-MX" w:eastAsia="es-MX"/>
        </w:rPr>
        <w:t xml:space="preserve"> La presente Ley es de orden público y tiene por objeto regular la planeación, programación, </w:t>
      </w:r>
      <w:proofErr w:type="spellStart"/>
      <w:r w:rsidRPr="008E260A">
        <w:rPr>
          <w:rFonts w:ascii="Calibri" w:eastAsia="Times New Roman" w:hAnsi="Calibri" w:cs="Times New Roman"/>
          <w:sz w:val="22"/>
          <w:szCs w:val="22"/>
          <w:lang w:val="es-MX" w:eastAsia="es-MX"/>
        </w:rPr>
        <w:t>presupuestación</w:t>
      </w:r>
      <w:proofErr w:type="spellEnd"/>
      <w:r w:rsidRPr="008E260A">
        <w:rPr>
          <w:rFonts w:ascii="Calibri" w:eastAsia="Times New Roman" w:hAnsi="Calibri" w:cs="Times New Roman"/>
          <w:sz w:val="22"/>
          <w:szCs w:val="22"/>
          <w:lang w:val="es-MX" w:eastAsia="es-MX"/>
        </w:rPr>
        <w:t>, contratación, gasto, ejecución, control y evaluación de las adquisiciones, arrendamientos de bienes muebles y prestación de servicios de cualquier naturaleza, que realicen:</w:t>
      </w: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 I. Los Poderes del Estado. </w:t>
      </w: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II. Los municipios. </w:t>
      </w:r>
    </w:p>
    <w:p w:rsidR="008E260A" w:rsidRPr="008E260A" w:rsidRDefault="008E260A" w:rsidP="008E260A">
      <w:pPr>
        <w:ind w:left="425" w:right="335"/>
        <w:jc w:val="both"/>
        <w:rPr>
          <w:rFonts w:ascii="Calibri" w:eastAsia="Times New Roman" w:hAnsi="Calibri" w:cs="Arial"/>
          <w:i/>
          <w:iCs/>
          <w:sz w:val="22"/>
          <w:szCs w:val="22"/>
          <w:lang w:val="es-MX" w:eastAsia="es-MX"/>
        </w:rPr>
      </w:pPr>
      <w:r w:rsidRPr="008E260A">
        <w:rPr>
          <w:rFonts w:ascii="Calibri" w:eastAsia="Times New Roman" w:hAnsi="Calibri" w:cs="Times New Roman"/>
          <w:sz w:val="22"/>
          <w:szCs w:val="22"/>
          <w:lang w:val="es-MX" w:eastAsia="es-MX"/>
        </w:rPr>
        <w:t>III. Los órganos constitucionales autónomos</w:t>
      </w: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IV. Los organismos descentralizados estatales y municipales. </w:t>
      </w: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V. Las empresas de participación estatal o municipal mayoritaria.</w:t>
      </w: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lastRenderedPageBreak/>
        <w:t>VI. Los fideicomisos en los que cualquiera de los entes anteriores tenga el carácter de fideicomitente.</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 Las adquisiciones, arrendamientos y contratación de servicios con cargo total o parcial a fondos federales conforme a los convenios entre el Ejecutivo Federal y los entes públicos señalados en las fracciones anteriores, estarán sujetos a las disposiciones de la Ley Federal en la materia.</w:t>
      </w:r>
    </w:p>
    <w:p w:rsidR="008E260A" w:rsidRPr="008E260A" w:rsidRDefault="008E260A" w:rsidP="008E260A">
      <w:pPr>
        <w:spacing w:after="200"/>
        <w:ind w:left="426"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 No podrán crearse fideicomisos, otorgarse mandatos o celebrarse contratos o cualquier tipo de actos cuya finalidad sea evadir lo previsto en este ordenamiento.</w:t>
      </w:r>
    </w:p>
    <w:p w:rsidR="008E260A" w:rsidRPr="008E260A" w:rsidRDefault="008E260A" w:rsidP="008E260A">
      <w:pPr>
        <w:spacing w:after="200"/>
        <w:ind w:left="426" w:right="333"/>
        <w:jc w:val="both"/>
        <w:rPr>
          <w:rFonts w:ascii="Calibri" w:eastAsia="Times New Roman" w:hAnsi="Calibri" w:cs="Arial"/>
          <w:i/>
          <w:iCs/>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b/>
          <w:bCs/>
          <w:sz w:val="22"/>
          <w:szCs w:val="22"/>
          <w:lang w:val="es-MX" w:eastAsia="es-MX"/>
        </w:rPr>
        <w:t xml:space="preserve">Artículo 72. </w:t>
      </w:r>
      <w:r w:rsidRPr="008E260A">
        <w:rPr>
          <w:rFonts w:ascii="Calibri" w:eastAsia="Times New Roman" w:hAnsi="Calibri" w:cs="Times New Roman"/>
          <w:bCs/>
          <w:sz w:val="22"/>
          <w:szCs w:val="22"/>
          <w:lang w:val="es-MX" w:eastAsia="es-MX"/>
        </w:rPr>
        <w:t>En</w:t>
      </w:r>
      <w:r w:rsidRPr="008E260A">
        <w:rPr>
          <w:rFonts w:ascii="Calibri" w:eastAsia="Times New Roman" w:hAnsi="Calibri" w:cs="Times New Roman"/>
          <w:b/>
          <w:bCs/>
          <w:sz w:val="22"/>
          <w:szCs w:val="22"/>
          <w:lang w:val="es-MX" w:eastAsia="es-MX"/>
        </w:rPr>
        <w:t xml:space="preserve"> </w:t>
      </w:r>
      <w:r w:rsidRPr="008E260A">
        <w:rPr>
          <w:rFonts w:ascii="Calibri" w:eastAsia="Times New Roman" w:hAnsi="Calibri" w:cs="Times New Roman"/>
          <w:sz w:val="22"/>
          <w:szCs w:val="22"/>
          <w:lang w:val="es-MX" w:eastAsia="es-MX"/>
        </w:rPr>
        <w:t xml:space="preserve">los supuestos que prevé el presente Capítulo, los entes públicos, bajo su responsabilidad y con aprobación del Comité correspondiente, podrán optar por no llevar a cabo el procedimiento de licitación pública y celebrar contratos a través de los procedimientos de invitación a cuando menos tres proveedores o de adjudicación directa. </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La selección del procedimiento de excepción que realicen los entes públicos deberá fundamentarse y motivarse. </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Según las circunstancias que concurran en cada caso, los entes públicos deberán justificar las excepciones en criterios de economía, eficacia, eficiencia, imparcialidad, legalidad, honradez y transparencia que resulten procedentes para obtener las mejores condiciones para el Estado. </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El </w:t>
      </w:r>
      <w:proofErr w:type="spellStart"/>
      <w:r w:rsidRPr="008E260A">
        <w:rPr>
          <w:rFonts w:ascii="Calibri" w:eastAsia="Times New Roman" w:hAnsi="Calibri" w:cs="Times New Roman"/>
          <w:sz w:val="22"/>
          <w:szCs w:val="22"/>
          <w:lang w:val="es-MX" w:eastAsia="es-MX"/>
        </w:rPr>
        <w:t>acreditamiento</w:t>
      </w:r>
      <w:proofErr w:type="spellEnd"/>
      <w:r w:rsidRPr="008E260A">
        <w:rPr>
          <w:rFonts w:ascii="Calibri" w:eastAsia="Times New Roman" w:hAnsi="Calibri" w:cs="Times New Roman"/>
          <w:sz w:val="22"/>
          <w:szCs w:val="22"/>
          <w:lang w:val="es-MX" w:eastAsia="es-MX"/>
        </w:rPr>
        <w:t xml:space="preserve"> de los criterios en los que se funda, así como la justificación de las razones en las que se sustente el ejercicio de la excepción, deberán constar por escrito y ser firmados por la persona titular del área usuaria o requirente de los bienes o servicios. </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En los procedimientos de invitación a cuando menos tres proveedores el escrito deberá estar acompañado de los nombres y datos generales de los proveedores que se invitarán; tratándose de adjudicaciones directas, deberá indicarse el nombre y datos generales de la persona a quien se propone realizarla. En ambos procedimientos, deberá acompañarse la investigación de mercado que sirvió de base para su selección.</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ind w:left="425" w:right="335"/>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 xml:space="preserve">En cualquier supuesto se deberá invitar a </w:t>
      </w:r>
      <w:r w:rsidRPr="008E260A">
        <w:rPr>
          <w:rFonts w:ascii="Calibri" w:eastAsia="Times New Roman" w:hAnsi="Calibri" w:cs="Times New Roman"/>
          <w:bCs/>
          <w:sz w:val="22"/>
          <w:szCs w:val="22"/>
          <w:lang w:val="es-MX" w:eastAsia="es-MX"/>
        </w:rPr>
        <w:t xml:space="preserve">proveedores </w:t>
      </w:r>
      <w:r w:rsidRPr="008E260A">
        <w:rPr>
          <w:rFonts w:ascii="Calibri" w:eastAsia="Times New Roman" w:hAnsi="Calibri" w:cs="Times New Roman"/>
          <w:sz w:val="22"/>
          <w:szCs w:val="22"/>
          <w:lang w:val="es-MX" w:eastAsia="es-MX"/>
        </w:rPr>
        <w:t xml:space="preserve">que cuenten con capacidad de respuesta inmediata, así como con los recursos técnicos, financieros y demás que sean necesarios, y cuyas actividades comerciales o profesionales estén relacionadas con los bienes o servicios objeto del contrato a celebrarse. </w:t>
      </w:r>
    </w:p>
    <w:p w:rsidR="008E260A" w:rsidRPr="008E260A" w:rsidRDefault="008E260A" w:rsidP="008E260A">
      <w:pPr>
        <w:ind w:left="425" w:right="335"/>
        <w:jc w:val="both"/>
        <w:rPr>
          <w:rFonts w:ascii="Calibri" w:eastAsia="Times New Roman" w:hAnsi="Calibri" w:cs="Times New Roman"/>
          <w:sz w:val="22"/>
          <w:szCs w:val="22"/>
          <w:lang w:val="es-MX" w:eastAsia="es-MX"/>
        </w:rPr>
      </w:pPr>
    </w:p>
    <w:p w:rsidR="008E260A" w:rsidRPr="008E260A" w:rsidRDefault="008E260A" w:rsidP="008E260A">
      <w:pPr>
        <w:spacing w:after="200"/>
        <w:ind w:left="426" w:right="333"/>
        <w:jc w:val="both"/>
        <w:rPr>
          <w:rFonts w:ascii="Calibri" w:eastAsia="Times New Roman" w:hAnsi="Calibri" w:cs="Times New Roman"/>
          <w:b/>
          <w:bCs/>
          <w:sz w:val="22"/>
          <w:szCs w:val="22"/>
          <w:lang w:val="es-MX" w:eastAsia="es-MX"/>
        </w:rPr>
      </w:pPr>
      <w:r w:rsidRPr="008E260A">
        <w:rPr>
          <w:rFonts w:ascii="Calibri" w:eastAsia="Times New Roman" w:hAnsi="Calibri" w:cs="Times New Roman"/>
          <w:b/>
          <w:bCs/>
          <w:sz w:val="22"/>
          <w:szCs w:val="22"/>
          <w:lang w:val="es-MX" w:eastAsia="es-MX"/>
        </w:rPr>
        <w:t xml:space="preserve">Artículo 74. </w:t>
      </w:r>
      <w:r w:rsidRPr="008E260A">
        <w:rPr>
          <w:rFonts w:ascii="Calibri" w:eastAsia="Times New Roman" w:hAnsi="Calibri" w:cs="Times New Roman"/>
          <w:sz w:val="22"/>
          <w:szCs w:val="22"/>
          <w:lang w:val="es-MX" w:eastAsia="es-MX"/>
        </w:rPr>
        <w:t>Los entes públicos, bajo su responsabilidad, podrán contratar adquisiciones, arrendamientos y servicios, sin sujetarse al procedimiento de licitación pública, a través de invitación a cuando menos tres proveedores o de adjudicación directa, cuando el importe de la operación no exceda los siguientes montos:</w:t>
      </w:r>
    </w:p>
    <w:p w:rsidR="008E260A" w:rsidRPr="008E260A" w:rsidRDefault="008E260A" w:rsidP="008E260A">
      <w:pPr>
        <w:numPr>
          <w:ilvl w:val="0"/>
          <w:numId w:val="7"/>
        </w:numPr>
        <w:spacing w:after="200" w:line="276" w:lineRule="auto"/>
        <w:ind w:right="333"/>
        <w:jc w:val="both"/>
        <w:rPr>
          <w:rFonts w:ascii="Calibri" w:eastAsia="Times New Roman" w:hAnsi="Calibri" w:cs="Times New Roman"/>
          <w:sz w:val="22"/>
          <w:szCs w:val="22"/>
          <w:lang w:val="es-MX" w:eastAsia="es-MX"/>
        </w:rPr>
      </w:pPr>
      <w:r w:rsidRPr="008E260A">
        <w:rPr>
          <w:rFonts w:ascii="Calibri" w:eastAsia="Times New Roman" w:hAnsi="Calibri" w:cs="Times New Roman"/>
          <w:sz w:val="22"/>
          <w:szCs w:val="22"/>
          <w:lang w:val="es-MX" w:eastAsia="es-MX"/>
        </w:rPr>
        <w:tab/>
        <w:t>En adjudicaciones directas, el monto no podrá exceder la cantidad de treinta y seis veces el valor anual de la Unidad de Medida y Actualización vigente por cuenta presupuestal, sin incluir el Impuesto al Valor Agregado.</w:t>
      </w:r>
    </w:p>
    <w:p w:rsidR="008E260A" w:rsidRPr="008E260A" w:rsidRDefault="008E260A" w:rsidP="008E260A">
      <w:pPr>
        <w:numPr>
          <w:ilvl w:val="0"/>
          <w:numId w:val="8"/>
        </w:numPr>
        <w:spacing w:after="200" w:line="276" w:lineRule="auto"/>
        <w:ind w:right="23"/>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lastRenderedPageBreak/>
        <w:t>En invitaciones a cuando menos tres proveedores, el monto no podrá exceder la cantidad de cincuenta y cuatro veces el valor anual de la Unidad de Medida y Actualización vigente por cuenta presupuestal sin incluir el Impuesto al Valor Agregado.</w:t>
      </w:r>
    </w:p>
    <w:p w:rsidR="008E260A" w:rsidRPr="008E260A" w:rsidRDefault="008E260A" w:rsidP="008E260A">
      <w:pPr>
        <w:ind w:left="720" w:right="23"/>
        <w:jc w:val="both"/>
        <w:rPr>
          <w:rFonts w:ascii="Calibri" w:eastAsia="Times New Roman" w:hAnsi="Calibri" w:cs="Arial"/>
          <w:color w:val="000000"/>
          <w:sz w:val="22"/>
          <w:szCs w:val="22"/>
          <w:lang w:val="es-MX" w:eastAsia="es-MX"/>
        </w:rPr>
      </w:pPr>
    </w:p>
    <w:p w:rsidR="008E260A" w:rsidRPr="008E260A" w:rsidRDefault="008E260A" w:rsidP="008E260A">
      <w:pPr>
        <w:ind w:right="23"/>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Las operaciones no podrán ser fraccionadas para quedar comprendidas en los supuestos de excepción por montos a la licitación pública que se refiere este artículo. </w:t>
      </w:r>
    </w:p>
    <w:p w:rsidR="008E260A" w:rsidRPr="008E260A" w:rsidRDefault="008E260A" w:rsidP="008E260A">
      <w:pPr>
        <w:ind w:right="23"/>
        <w:jc w:val="both"/>
        <w:rPr>
          <w:rFonts w:ascii="Calibri" w:eastAsia="Times New Roman" w:hAnsi="Calibri" w:cs="Arial"/>
          <w:color w:val="000000"/>
          <w:sz w:val="22"/>
          <w:szCs w:val="22"/>
          <w:lang w:val="es-MX" w:eastAsia="es-MX"/>
        </w:rPr>
      </w:pPr>
    </w:p>
    <w:p w:rsidR="008E260A" w:rsidRPr="008E260A" w:rsidRDefault="008E260A" w:rsidP="008E260A">
      <w:pPr>
        <w:ind w:right="23"/>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Para contratar adjudicaciones directas, cuyo monto sea igual o superior a la cantidad de trescientas veces el valor diario de la Unidad de Medida y Actualización vigente, se deberá contar con al menos tres cotizaciones con las mismas condiciones, que se hayan obtenido en los treinta días previos al de la adjudicación, y consten en documento en el cual se identifiquen indubitablemente al proveedor oferente. </w:t>
      </w:r>
    </w:p>
    <w:p w:rsidR="008E260A" w:rsidRPr="008E260A" w:rsidRDefault="008E260A" w:rsidP="008E260A">
      <w:pPr>
        <w:ind w:right="23"/>
        <w:jc w:val="both"/>
        <w:rPr>
          <w:rFonts w:ascii="Calibri" w:eastAsia="Times New Roman" w:hAnsi="Calibri" w:cs="Arial"/>
          <w:color w:val="000000"/>
          <w:sz w:val="22"/>
          <w:szCs w:val="22"/>
          <w:lang w:val="es-MX" w:eastAsia="es-MX"/>
        </w:rPr>
      </w:pPr>
    </w:p>
    <w:p w:rsidR="008E260A" w:rsidRPr="008E260A" w:rsidRDefault="008E260A" w:rsidP="008E260A">
      <w:pPr>
        <w:ind w:right="23"/>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Lo dispuesto en el quinto párrafo del artículo 72 resultará aplicable a la contratación mediante los procedimientos de invitación a cuando menos tres proveedores y de adjudicación directa que se fundamenten en este artículo. </w:t>
      </w:r>
    </w:p>
    <w:p w:rsidR="008E260A" w:rsidRPr="008E260A" w:rsidRDefault="008E260A" w:rsidP="008E260A">
      <w:pPr>
        <w:ind w:right="23"/>
        <w:jc w:val="both"/>
        <w:rPr>
          <w:rFonts w:ascii="Calibri" w:eastAsia="Times New Roman" w:hAnsi="Calibri" w:cs="Arial"/>
          <w:color w:val="000000"/>
          <w:sz w:val="22"/>
          <w:szCs w:val="22"/>
          <w:lang w:val="es-MX" w:eastAsia="es-MX"/>
        </w:rPr>
      </w:pPr>
    </w:p>
    <w:p w:rsidR="008E260A" w:rsidRPr="008E260A" w:rsidRDefault="008E260A" w:rsidP="008E260A">
      <w:pPr>
        <w:ind w:right="23"/>
        <w:jc w:val="both"/>
        <w:rPr>
          <w:rFonts w:ascii="Calibri" w:eastAsia="Times New Roman" w:hAnsi="Calibri" w:cs="Arial"/>
          <w:color w:val="000000"/>
          <w:sz w:val="22"/>
          <w:szCs w:val="22"/>
          <w:lang w:val="es-MX" w:eastAsia="es-MX"/>
        </w:rPr>
      </w:pPr>
    </w:p>
    <w:p w:rsidR="008E260A" w:rsidRPr="008E260A" w:rsidRDefault="008E260A" w:rsidP="008E260A">
      <w:pPr>
        <w:spacing w:after="200"/>
        <w:jc w:val="both"/>
        <w:rPr>
          <w:rFonts w:ascii="Calibri" w:eastAsia="Times New Roman" w:hAnsi="Calibri" w:cs="Arial"/>
          <w:b/>
          <w:bCs/>
          <w:sz w:val="22"/>
          <w:szCs w:val="22"/>
          <w:lang w:val="es-MX" w:eastAsia="es-MX"/>
        </w:rPr>
      </w:pPr>
      <w:r w:rsidRPr="008E260A">
        <w:rPr>
          <w:rFonts w:ascii="Calibri" w:eastAsia="Times New Roman" w:hAnsi="Calibri" w:cs="Arial"/>
          <w:b/>
          <w:bCs/>
          <w:sz w:val="22"/>
          <w:szCs w:val="22"/>
          <w:lang w:val="es-MX" w:eastAsia="es-MX"/>
        </w:rPr>
        <w:t>MOTIVACIÓN Y FUNDAMENTACIÓN LEGAL DEL SUPUESTO DE EXCEPCIÓN.</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Es importante mencionar que, en atención a su naturaleza, dentro de las atribuciones y funciones que presta </w:t>
      </w:r>
      <w:r w:rsidRPr="008E260A">
        <w:rPr>
          <w:rFonts w:ascii="Calibri" w:eastAsia="Times New Roman" w:hAnsi="Calibri" w:cs="Arial"/>
          <w:b/>
          <w:sz w:val="22"/>
          <w:szCs w:val="22"/>
          <w:lang w:val="es-MX" w:eastAsia="es-MX"/>
        </w:rPr>
        <w:t>“EL DIRECTOR”</w:t>
      </w:r>
      <w:r w:rsidRPr="008E260A">
        <w:rPr>
          <w:rFonts w:ascii="Calibri" w:eastAsia="Times New Roman" w:hAnsi="Calibri" w:cs="Arial"/>
          <w:sz w:val="22"/>
          <w:szCs w:val="22"/>
          <w:lang w:val="es-MX" w:eastAsia="es-MX"/>
        </w:rPr>
        <w:t>, en la presente contratación, se exige la calidad de la adquisición de materiales eléctricos.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Asimismo, en razón de la naturaleza de la Adquisición de material eléctrico antes descrito, </w:t>
      </w:r>
      <w:r w:rsidRPr="008E260A">
        <w:rPr>
          <w:rFonts w:ascii="Calibri" w:eastAsia="Times New Roman" w:hAnsi="Calibri" w:cs="Arial"/>
          <w:b/>
          <w:sz w:val="22"/>
          <w:szCs w:val="22"/>
          <w:lang w:val="es-MX" w:eastAsia="es-MX"/>
        </w:rPr>
        <w:t>“EL DIRECTOR”</w:t>
      </w:r>
      <w:r w:rsidRPr="008E260A">
        <w:rPr>
          <w:rFonts w:ascii="Calibri" w:eastAsia="Times New Roman" w:hAnsi="Calibri" w:cs="Arial"/>
          <w:bCs/>
          <w:sz w:val="22"/>
          <w:szCs w:val="22"/>
          <w:lang w:val="es-MX" w:eastAsia="es-MX"/>
        </w:rPr>
        <w:t xml:space="preserve">, </w:t>
      </w:r>
      <w:r w:rsidRPr="008E260A">
        <w:rPr>
          <w:rFonts w:ascii="Calibri" w:eastAsia="Times New Roman" w:hAnsi="Calibri" w:cs="Arial"/>
          <w:sz w:val="22"/>
          <w:szCs w:val="22"/>
          <w:lang w:val="es-MX" w:eastAsia="es-MX"/>
        </w:rPr>
        <w:t>considera que es procedente optar por el procedimiento de Adjudicación Directa por excepción a la licitación pública prevista en la ley de la materia, para dicho efecto, es necesario que la Prestación que se contrate sea con la(s) persona(s) seleccionada(s)y que cuenten con la capacidad de respuesta inmediata para otorgar la entrega del material eléctrico en tiempo y forma y de acuerdo a los requerimientos establecidos.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Como ha quedado establecido, la Adquisición de materiales eléctricos, antes señalados es para la realización de labores de mantenimiento, reparación e instalación a la red de alumbrado público, 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fin de dar cumplimiento a las líneas de acción establecidas en Plan Municipal de Desarrollo 2018-2021 donde se hace mención, se atenderán las solicitudes ciudadanas para la conservación y el mantenimiento correctivo de la red de alumbrado en colonias, y reparar e instalar luminarias, priorizando las vialidades primarias, secundarias, puentes y bajo puentes. </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Lo que nos permitirá mejorar la calidad de vida de todos los juarenses, atendiendo sus necesidades, ofreciendo servicios públicos municipales de calidad, desarrollo social, salud, educación, deporte y recreación, garantizando las condiciones que les permitan desarrollarse integralmente en el citado Plan Municipal de Desarrollo.</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Por lo que la contratación la </w:t>
      </w:r>
      <w:proofErr w:type="gramStart"/>
      <w:r w:rsidRPr="008E260A">
        <w:rPr>
          <w:rFonts w:ascii="Calibri" w:eastAsia="Times New Roman" w:hAnsi="Calibri" w:cs="Arial"/>
          <w:sz w:val="22"/>
          <w:szCs w:val="22"/>
          <w:lang w:val="es-MX" w:eastAsia="es-MX"/>
        </w:rPr>
        <w:t>realizara</w:t>
      </w:r>
      <w:proofErr w:type="gramEnd"/>
      <w:r w:rsidRPr="008E260A">
        <w:rPr>
          <w:rFonts w:ascii="Calibri" w:eastAsia="Times New Roman" w:hAnsi="Calibri" w:cs="Arial"/>
          <w:sz w:val="22"/>
          <w:szCs w:val="22"/>
          <w:lang w:val="es-MX" w:eastAsia="es-MX"/>
        </w:rPr>
        <w:t xml:space="preserve"> el prestador de servicios que oferte el precio más bajo y mejor calidad, lo que permitirá tener un ahorro para el Municipio.</w:t>
      </w:r>
    </w:p>
    <w:p w:rsidR="008E260A" w:rsidRPr="008E260A" w:rsidRDefault="008E260A"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PERSONAS PROPUESTAS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lastRenderedPageBreak/>
        <w:t>Las personas físicas o morales serán seleccionadas, en cuanto a su capacidad para cumplir con las necesidades de la contratación y que los precios sean los más convenientes para el Municipio.</w:t>
      </w:r>
    </w:p>
    <w:p w:rsidR="008E260A" w:rsidRPr="008E260A" w:rsidRDefault="008E260A" w:rsidP="008E260A">
      <w:pPr>
        <w:spacing w:after="200"/>
        <w:ind w:right="-93"/>
        <w:jc w:val="both"/>
        <w:rPr>
          <w:rFonts w:ascii="Calibri" w:eastAsia="Times New Roman" w:hAnsi="Calibri" w:cs="Arial"/>
          <w:sz w:val="22"/>
          <w:szCs w:val="22"/>
          <w:lang w:val="es-MX" w:eastAsia="es-MX"/>
        </w:rPr>
      </w:pPr>
      <w:r w:rsidRPr="008E260A">
        <w:rPr>
          <w:rFonts w:ascii="Calibri" w:eastAsia="Times New Roman" w:hAnsi="Calibri" w:cs="Arial"/>
          <w:noProof/>
          <w:sz w:val="22"/>
          <w:szCs w:val="22"/>
        </w:rPr>
        <w:drawing>
          <wp:inline distT="0" distB="0" distL="0" distR="0">
            <wp:extent cx="5610225"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a:noFill/>
                    </a:ln>
                  </pic:spPr>
                </pic:pic>
              </a:graphicData>
            </a:graphic>
          </wp:inline>
        </w:drawing>
      </w:r>
    </w:p>
    <w:p w:rsidR="008E260A" w:rsidRPr="008E260A" w:rsidRDefault="008E260A" w:rsidP="008E260A">
      <w:pPr>
        <w:spacing w:after="200"/>
        <w:ind w:right="-93"/>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DE LOS PROCEDIMIENTOS DE ADJUDICACIÓN</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De conformidad con lo establecido en el artículo 1º de la Ley de Adquisiciones, Arrendamientos, y Contratación de Servicios del Estado de Chihuahua,  </w:t>
      </w:r>
      <w:r w:rsidRPr="008E260A">
        <w:rPr>
          <w:rFonts w:ascii="Calibri" w:eastAsia="Times New Roman" w:hAnsi="Calibri" w:cs="Arial"/>
          <w:iCs/>
          <w:sz w:val="22"/>
          <w:szCs w:val="22"/>
          <w:lang w:val="es-MX" w:eastAsia="es-MX"/>
        </w:rPr>
        <w:t xml:space="preserve">es de orden público </w:t>
      </w:r>
      <w:r w:rsidRPr="008E260A">
        <w:rPr>
          <w:rFonts w:ascii="Calibri" w:eastAsia="Times New Roman" w:hAnsi="Calibri" w:cs="Times New Roman"/>
          <w:sz w:val="22"/>
          <w:szCs w:val="22"/>
          <w:lang w:val="es-MX" w:eastAsia="es-MX"/>
        </w:rPr>
        <w:t xml:space="preserve">tiene por objeto regular la planeación, programación, </w:t>
      </w:r>
      <w:proofErr w:type="spellStart"/>
      <w:r w:rsidRPr="008E260A">
        <w:rPr>
          <w:rFonts w:ascii="Calibri" w:eastAsia="Times New Roman" w:hAnsi="Calibri" w:cs="Times New Roman"/>
          <w:sz w:val="22"/>
          <w:szCs w:val="22"/>
          <w:lang w:val="es-MX" w:eastAsia="es-MX"/>
        </w:rPr>
        <w:t>presupuestación</w:t>
      </w:r>
      <w:proofErr w:type="spellEnd"/>
      <w:r w:rsidRPr="008E260A">
        <w:rPr>
          <w:rFonts w:ascii="Calibri" w:eastAsia="Times New Roman" w:hAnsi="Calibri" w:cs="Times New Roman"/>
          <w:sz w:val="22"/>
          <w:szCs w:val="22"/>
          <w:lang w:val="es-MX" w:eastAsia="es-MX"/>
        </w:rPr>
        <w:t>, contratación, gasto, ejecución, control y evaluación de las adquisiciones, arrendamientos de bienes muebles y prestación de servicios de cualquier naturaleza, los Poderes del Estado, los municipios, los órganos constitucionales autónomos, los organismos descentralizados estatales y municipales, las empresas de participación estatal o municipal mayoritaria, los fideicomisos en los que cualquiera de los entes anteriores tenga el carácter de fideicomitente. No podrán crearse fideicomisos, otorgarse mandatos o celebrarse contratos o cualquier tipo de actos cuya finalidad sea evadir lo previsto en este ordenamiento.</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Lo anterior sin perjuicio de las atribuciones que esta Ley confiera de manera específica a otras dependencias y entidades.</w:t>
      </w:r>
    </w:p>
    <w:p w:rsidR="008E260A" w:rsidRPr="008E260A" w:rsidRDefault="008E260A" w:rsidP="008E260A">
      <w:pPr>
        <w:spacing w:after="200"/>
        <w:jc w:val="both"/>
        <w:rPr>
          <w:rFonts w:ascii="Calibri" w:eastAsia="Times New Roman" w:hAnsi="Calibri" w:cs="Arial"/>
          <w:sz w:val="22"/>
          <w:szCs w:val="22"/>
          <w:lang w:val="es-MX" w:eastAsia="es-MX"/>
        </w:rPr>
      </w:pP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Las instancias mencionadas expresamente en el párrafo anterior emitirán, bajo su responsabilidad y de conformidad con este mismo ordenamiento, las políticas, bases y lineamientos para las materias a que se refiere el artículo anterior.</w:t>
      </w:r>
    </w:p>
    <w:p w:rsidR="008E260A" w:rsidRPr="008E260A" w:rsidRDefault="008E260A"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MOTIVACIÓN</w:t>
      </w:r>
    </w:p>
    <w:p w:rsidR="008E260A" w:rsidRPr="008E260A" w:rsidRDefault="008E260A" w:rsidP="008E260A">
      <w:pPr>
        <w:autoSpaceDE w:val="0"/>
        <w:autoSpaceDN w:val="0"/>
        <w:adjustRightInd w:val="0"/>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De conformidad con el Plan Municipal de Desarrollo 2018-2021, gobernar es atender las necesidades y demandas de los ciudadanos en forma oportuna, haciendo el mejor uso de los recursos públicos y siendo fiel a las buenas prácticas de transparencia, rendición de cuentas y participación ciudadana, para que a través de éstas los gobernados puedan vigilar el desempeño gubernamental, lo que nos posicionaría como un gobierno eficiente y eficaz en el manejo de los recursos públicos. </w:t>
      </w:r>
    </w:p>
    <w:p w:rsidR="008E260A" w:rsidRPr="008E260A" w:rsidRDefault="008E260A" w:rsidP="008E260A">
      <w:pPr>
        <w:autoSpaceDE w:val="0"/>
        <w:autoSpaceDN w:val="0"/>
        <w:adjustRightInd w:val="0"/>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Es por ello, que el Municipio de Juárez impulsando su interés en la transparencia y en la rendición de cuentas, busca que las personas físicas o morales que participen ofrezcan las mejores condiciones en cuanto a calidad, oportunidad, financiamiento y precio, siendo parte de nuestro comportamiento frente al cumplimiento de diversas obligaciones previstas en Ley, que tiene como resultado la rendición de cuentas frente al Gobernado.</w:t>
      </w:r>
    </w:p>
    <w:p w:rsidR="008E260A" w:rsidRPr="008E260A" w:rsidRDefault="008E260A" w:rsidP="008E260A">
      <w:pPr>
        <w:autoSpaceDE w:val="0"/>
        <w:autoSpaceDN w:val="0"/>
        <w:adjustRightInd w:val="0"/>
        <w:spacing w:after="200"/>
        <w:jc w:val="both"/>
        <w:rPr>
          <w:rFonts w:ascii="Calibri" w:eastAsia="Times New Roman" w:hAnsi="Calibri" w:cs="Arial"/>
          <w:sz w:val="22"/>
          <w:szCs w:val="22"/>
          <w:lang w:val="es-MX" w:eastAsia="es-MX"/>
        </w:rPr>
      </w:pPr>
      <w:r w:rsidRPr="008E260A">
        <w:rPr>
          <w:rFonts w:ascii="Calibri" w:eastAsia="Times New Roman" w:hAnsi="Calibri" w:cs="Arial"/>
          <w:color w:val="000000"/>
          <w:sz w:val="22"/>
          <w:szCs w:val="22"/>
          <w:lang w:val="es-MX" w:eastAsia="es-MX"/>
        </w:rPr>
        <w:lastRenderedPageBreak/>
        <w:t>Así las cosas, es indispensable tomar todas las medidas necesarias para responder a la exigencia de la buena gestión financiera y administrativa en que se ejercen las Inversiones públicas, por ello se requiere que las personas físicas y morales cuenten con los estándares y especialidad en el tema, preste un abasto oportuno y de calidad de los servicios que nos ocupa</w:t>
      </w:r>
      <w:r w:rsidRPr="008E260A">
        <w:rPr>
          <w:rFonts w:ascii="Calibri" w:eastAsia="Times New Roman" w:hAnsi="Calibri" w:cs="Arial"/>
          <w:sz w:val="22"/>
          <w:szCs w:val="22"/>
          <w:lang w:val="es-MX" w:eastAsia="es-MX"/>
        </w:rPr>
        <w:t>.</w:t>
      </w:r>
    </w:p>
    <w:p w:rsidR="008E260A" w:rsidRPr="008E260A" w:rsidRDefault="008E260A" w:rsidP="008E260A">
      <w:pPr>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Es por ello que el artículo 72, de la Ley de Adquisiciones, Arrendamientos y Contratación de Servicios del Estado de Chihuahua, transcrito en el cuerpo del presente instrumento, establece que el procedimiento de excepción a la licitación pública que realicen los </w:t>
      </w:r>
      <w:proofErr w:type="spellStart"/>
      <w:r w:rsidRPr="008E260A">
        <w:rPr>
          <w:rFonts w:ascii="Calibri" w:eastAsia="Times New Roman" w:hAnsi="Calibri" w:cs="Arial"/>
          <w:color w:val="000000"/>
          <w:sz w:val="22"/>
          <w:szCs w:val="22"/>
          <w:lang w:val="es-MX" w:eastAsia="es-MX"/>
        </w:rPr>
        <w:t>adjudicantes</w:t>
      </w:r>
      <w:proofErr w:type="spellEnd"/>
      <w:r w:rsidRPr="008E260A">
        <w:rPr>
          <w:rFonts w:ascii="Calibri" w:eastAsia="Times New Roman" w:hAnsi="Calibri" w:cs="Arial"/>
          <w:color w:val="000000"/>
          <w:sz w:val="22"/>
          <w:szCs w:val="22"/>
          <w:lang w:val="es-MX" w:eastAsia="es-MX"/>
        </w:rPr>
        <w:t xml:space="preserve"> deberá estar fundada y motivada en los criterios de economía, eficacia, eficiencia, imparcialidad y honradez que aseguren las mejores condiciones en este caso para el Municipio de Juárez, mismos que se señalan en el siguiente orden: </w:t>
      </w:r>
    </w:p>
    <w:p w:rsidR="008E260A" w:rsidRPr="008E260A" w:rsidRDefault="008E260A" w:rsidP="008E260A">
      <w:pPr>
        <w:spacing w:after="200"/>
        <w:jc w:val="both"/>
        <w:rPr>
          <w:rFonts w:ascii="Calibri" w:eastAsia="Times New Roman" w:hAnsi="Calibri" w:cs="Arial"/>
          <w:b/>
          <w:color w:val="000000"/>
          <w:sz w:val="22"/>
          <w:szCs w:val="22"/>
          <w:lang w:val="es-MX" w:eastAsia="es-MX"/>
        </w:rPr>
      </w:pPr>
      <w:r w:rsidRPr="008E260A">
        <w:rPr>
          <w:rFonts w:ascii="Calibri" w:eastAsia="Times New Roman" w:hAnsi="Calibri" w:cs="Arial"/>
          <w:b/>
          <w:color w:val="000000"/>
          <w:sz w:val="22"/>
          <w:szCs w:val="22"/>
          <w:lang w:val="es-MX" w:eastAsia="es-MX"/>
        </w:rPr>
        <w:t>PRIMERO:</w:t>
      </w:r>
    </w:p>
    <w:p w:rsidR="008E260A" w:rsidRPr="008E260A" w:rsidRDefault="008E260A" w:rsidP="008E260A">
      <w:pPr>
        <w:autoSpaceDE w:val="0"/>
        <w:autoSpaceDN w:val="0"/>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La selección de cualquier procedimiento de excepción a la licitación pública que se realice, deberá fundarse y motivarse, según las circunstancias que concurran en cada caso, en criterios de economía, eficacia, eficiencia, imparcialidad y honradez, que aseguren las mejores condiciones para el Municipio.</w:t>
      </w:r>
    </w:p>
    <w:p w:rsidR="008E260A" w:rsidRPr="008E260A" w:rsidRDefault="008E260A" w:rsidP="008E260A">
      <w:pPr>
        <w:spacing w:after="200"/>
        <w:jc w:val="both"/>
        <w:rPr>
          <w:rFonts w:ascii="Calibri" w:eastAsia="Times New Roman" w:hAnsi="Calibri" w:cs="Arial"/>
          <w:b/>
          <w:color w:val="000000"/>
          <w:sz w:val="22"/>
          <w:szCs w:val="22"/>
          <w:lang w:val="es-MX" w:eastAsia="es-MX"/>
        </w:rPr>
      </w:pPr>
      <w:r w:rsidRPr="008E260A">
        <w:rPr>
          <w:rFonts w:ascii="Calibri" w:eastAsia="Times New Roman" w:hAnsi="Calibri" w:cs="Arial"/>
          <w:b/>
          <w:color w:val="000000"/>
          <w:sz w:val="22"/>
          <w:szCs w:val="22"/>
          <w:lang w:val="es-MX" w:eastAsia="es-MX"/>
        </w:rPr>
        <w:t xml:space="preserve">SEGUNDO: </w:t>
      </w:r>
    </w:p>
    <w:p w:rsidR="008E260A" w:rsidRPr="008E260A" w:rsidRDefault="008E260A" w:rsidP="008E260A">
      <w:pPr>
        <w:spacing w:after="200"/>
        <w:jc w:val="both"/>
        <w:rPr>
          <w:rFonts w:ascii="Calibri" w:eastAsia="Times New Roman" w:hAnsi="Calibri" w:cs="Arial"/>
          <w:b/>
          <w:color w:val="000000"/>
          <w:sz w:val="22"/>
          <w:szCs w:val="22"/>
          <w:lang w:val="es-MX" w:eastAsia="es-MX"/>
        </w:rPr>
      </w:pPr>
      <w:r w:rsidRPr="008E260A">
        <w:rPr>
          <w:rFonts w:ascii="Calibri" w:eastAsia="Times New Roman" w:hAnsi="Calibri" w:cs="Arial"/>
          <w:color w:val="000000"/>
          <w:sz w:val="22"/>
          <w:szCs w:val="22"/>
          <w:lang w:val="es-MX" w:eastAsia="es-MX"/>
        </w:rPr>
        <w:t xml:space="preserve">El </w:t>
      </w:r>
      <w:proofErr w:type="spellStart"/>
      <w:r w:rsidRPr="008E260A">
        <w:rPr>
          <w:rFonts w:ascii="Calibri" w:eastAsia="Times New Roman" w:hAnsi="Calibri" w:cs="Arial"/>
          <w:color w:val="000000"/>
          <w:sz w:val="22"/>
          <w:szCs w:val="22"/>
          <w:lang w:val="es-MX" w:eastAsia="es-MX"/>
        </w:rPr>
        <w:t>acreditamiento</w:t>
      </w:r>
      <w:proofErr w:type="spellEnd"/>
      <w:r w:rsidRPr="008E260A">
        <w:rPr>
          <w:rFonts w:ascii="Calibri" w:eastAsia="Times New Roman" w:hAnsi="Calibri" w:cs="Arial"/>
          <w:color w:val="000000"/>
          <w:sz w:val="22"/>
          <w:szCs w:val="22"/>
          <w:lang w:val="es-MX" w:eastAsia="es-MX"/>
        </w:rPr>
        <w:t xml:space="preserve"> de los criterios de la justificación derivados de las razones para llevar a cabo el procedimiento de Adjudicación Directa como excepción a la licitación pública consta en el presente dictamen por escrito y firmado por </w:t>
      </w:r>
      <w:proofErr w:type="gramStart"/>
      <w:r w:rsidRPr="008E260A">
        <w:rPr>
          <w:rFonts w:ascii="Calibri" w:eastAsia="Times New Roman" w:hAnsi="Calibri" w:cs="Arial"/>
          <w:color w:val="000000"/>
          <w:sz w:val="22"/>
          <w:szCs w:val="22"/>
          <w:lang w:val="es-MX" w:eastAsia="es-MX"/>
        </w:rPr>
        <w:t>el  “</w:t>
      </w:r>
      <w:proofErr w:type="gramEnd"/>
      <w:r w:rsidRPr="008E260A">
        <w:rPr>
          <w:rFonts w:ascii="Calibri" w:eastAsia="Times New Roman" w:hAnsi="Calibri" w:cs="Arial"/>
          <w:color w:val="000000"/>
          <w:sz w:val="22"/>
          <w:szCs w:val="22"/>
          <w:lang w:val="es-MX" w:eastAsia="es-MX"/>
        </w:rPr>
        <w:t>Director General de Servicios Públicos¨ solicitante responsable de la adjudicación.</w:t>
      </w:r>
    </w:p>
    <w:p w:rsidR="008E260A" w:rsidRPr="008E260A" w:rsidRDefault="008E260A" w:rsidP="008E260A">
      <w:pPr>
        <w:spacing w:after="200"/>
        <w:jc w:val="both"/>
        <w:rPr>
          <w:rFonts w:ascii="Calibri" w:eastAsia="Times New Roman" w:hAnsi="Calibri" w:cs="Arial"/>
          <w:b/>
          <w:color w:val="000000"/>
          <w:sz w:val="22"/>
          <w:szCs w:val="22"/>
          <w:lang w:val="es-MX" w:eastAsia="es-MX"/>
        </w:rPr>
      </w:pPr>
      <w:r w:rsidRPr="008E260A">
        <w:rPr>
          <w:rFonts w:ascii="Calibri" w:eastAsia="Times New Roman" w:hAnsi="Calibri" w:cs="Arial"/>
          <w:b/>
          <w:color w:val="000000"/>
          <w:sz w:val="22"/>
          <w:szCs w:val="22"/>
          <w:lang w:val="es-MX" w:eastAsia="es-MX"/>
        </w:rPr>
        <w:t>TERCERO:</w:t>
      </w:r>
    </w:p>
    <w:p w:rsidR="008E260A" w:rsidRPr="008E260A" w:rsidRDefault="008E260A" w:rsidP="008E260A">
      <w:pPr>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 xml:space="preserve">Que, al seleccionar como procedimiento de Adjudicación Directa, se encuentra fundado y motivado el mismo, según las circunstancias especiales que concurren en el presente caso, en estricto apego a la ley de la materia. </w:t>
      </w:r>
    </w:p>
    <w:p w:rsidR="008E260A" w:rsidRPr="008E260A" w:rsidRDefault="008E260A" w:rsidP="008E260A">
      <w:pPr>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color w:val="000000"/>
          <w:sz w:val="22"/>
          <w:szCs w:val="22"/>
          <w:lang w:val="es-MX" w:eastAsia="es-MX"/>
        </w:rPr>
        <w:t>En cualquier supuesto se contratará con personas físicas o morales que cuenten, con capacidad de respuesta inmediata, así como con los recursos técnicos, financieros y demás que sean necesarios, de acuerdo con las características, complejidad y magnitud de los bienes a adquirir.</w:t>
      </w:r>
    </w:p>
    <w:p w:rsidR="008E260A" w:rsidRPr="008E260A" w:rsidRDefault="008E260A"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JUSTIFICACIÓN ADMINISTRATIVA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Que el presente Dictamen de Justificación, para la realización de Adjudicación Directa, por excepción a la licitación pública, se justifica claramente de conformidad con la fracción I del artículo 74 de la Ley de Adquisiciones, Arrendamientos y Contratación de Servicios del Estado de Chihuahua, en virtud de lo siguiente: </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 xml:space="preserve">PRIMERO. </w:t>
      </w:r>
      <w:r w:rsidRPr="008E260A">
        <w:rPr>
          <w:rFonts w:ascii="Calibri" w:eastAsia="Times New Roman" w:hAnsi="Calibri" w:cs="Arial"/>
          <w:sz w:val="22"/>
          <w:szCs w:val="22"/>
          <w:lang w:val="es-MX" w:eastAsia="es-MX"/>
        </w:rPr>
        <w:t>Que un buen Gobierno ágil, transparente, moderno y en corresponsabilidad con los ciudadanos, se traduce en buenos resultados y para lograr este objetivo resulta importante la adquisición de los bienes en comento; toda vez que un gobierno abierto ofrecerá la información de nuestra administración de manera permanente y pública.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Comunicaremos las acciones y los resultados en la administración pública municipal, para que los ciudadanos conozcan el destino de sus contribuciones.</w:t>
      </w:r>
    </w:p>
    <w:p w:rsidR="008E260A" w:rsidRPr="008E260A" w:rsidRDefault="008E260A" w:rsidP="008E260A">
      <w:pPr>
        <w:spacing w:after="200"/>
        <w:jc w:val="both"/>
        <w:rPr>
          <w:rFonts w:ascii="Calibri" w:eastAsia="Times New Roman" w:hAnsi="Calibri" w:cs="Arial"/>
          <w:color w:val="000000"/>
          <w:sz w:val="22"/>
          <w:szCs w:val="22"/>
          <w:lang w:val="es-MX" w:eastAsia="es-MX"/>
        </w:rPr>
      </w:pPr>
      <w:r w:rsidRPr="008E260A">
        <w:rPr>
          <w:rFonts w:ascii="Calibri" w:eastAsia="Times New Roman" w:hAnsi="Calibri" w:cs="Arial"/>
          <w:sz w:val="22"/>
          <w:szCs w:val="22"/>
          <w:lang w:val="es-MX" w:eastAsia="es-MX"/>
        </w:rPr>
        <w:lastRenderedPageBreak/>
        <w:t>Con transparencia total y con corresponsabilidad ciudadana combatiremos las prácticas de corrupción e impunidad. Gobernar con los ciudadanos, es el compromiso de un gobierno independiente</w:t>
      </w:r>
      <w:r w:rsidRPr="008E260A">
        <w:rPr>
          <w:rFonts w:ascii="Calibri" w:eastAsia="Times New Roman" w:hAnsi="Calibri" w:cs="Arial"/>
          <w:color w:val="000000"/>
          <w:sz w:val="22"/>
          <w:szCs w:val="22"/>
          <w:lang w:val="es-MX" w:eastAsia="es-MX"/>
        </w:rPr>
        <w:t>.</w:t>
      </w:r>
    </w:p>
    <w:p w:rsidR="008E260A" w:rsidRPr="008E260A" w:rsidRDefault="008E260A" w:rsidP="008E260A">
      <w:pPr>
        <w:spacing w:after="200"/>
        <w:jc w:val="both"/>
        <w:rPr>
          <w:rFonts w:ascii="Calibri" w:eastAsia="Times New Roman" w:hAnsi="Calibri" w:cs="Arial"/>
          <w:sz w:val="22"/>
          <w:szCs w:val="22"/>
          <w:lang w:val="es-ES" w:eastAsia="es-MX"/>
        </w:rPr>
      </w:pPr>
      <w:r w:rsidRPr="008E260A">
        <w:rPr>
          <w:rFonts w:ascii="Calibri" w:eastAsia="Times New Roman" w:hAnsi="Calibri" w:cs="Arial"/>
          <w:b/>
          <w:sz w:val="22"/>
          <w:szCs w:val="22"/>
          <w:lang w:val="es-MX" w:eastAsia="es-MX"/>
        </w:rPr>
        <w:t xml:space="preserve">SEGUNDO. </w:t>
      </w:r>
      <w:r w:rsidRPr="008E260A">
        <w:rPr>
          <w:rFonts w:ascii="Calibri" w:eastAsia="Times New Roman" w:hAnsi="Calibri" w:cs="Arial"/>
          <w:sz w:val="22"/>
          <w:szCs w:val="22"/>
          <w:lang w:val="es-ES" w:eastAsia="es-MX"/>
        </w:rPr>
        <w:t>El objetivo de la contratación:</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ES" w:eastAsia="es-MX"/>
        </w:rPr>
        <w:t xml:space="preserve">En este sentido, </w:t>
      </w:r>
      <w:r w:rsidRPr="008E260A">
        <w:rPr>
          <w:rFonts w:ascii="Calibri" w:eastAsia="Times New Roman" w:hAnsi="Calibri" w:cs="Arial"/>
          <w:b/>
          <w:sz w:val="22"/>
          <w:szCs w:val="22"/>
          <w:lang w:val="es-MX" w:eastAsia="es-MX"/>
        </w:rPr>
        <w:t xml:space="preserve">“EL DIRECTOR” </w:t>
      </w:r>
      <w:r w:rsidRPr="008E260A">
        <w:rPr>
          <w:rFonts w:ascii="Calibri" w:eastAsia="Times New Roman" w:hAnsi="Calibri" w:cs="Arial"/>
          <w:color w:val="000000"/>
          <w:sz w:val="22"/>
          <w:szCs w:val="22"/>
          <w:lang w:val="es-MX" w:eastAsia="es-MX"/>
        </w:rPr>
        <w:t xml:space="preserve">realizará un </w:t>
      </w:r>
      <w:r w:rsidRPr="008E260A">
        <w:rPr>
          <w:rFonts w:ascii="Calibri" w:eastAsia="Times New Roman" w:hAnsi="Calibri" w:cs="Arial"/>
          <w:sz w:val="22"/>
          <w:szCs w:val="22"/>
          <w:lang w:val="es-MX" w:eastAsia="es-MX"/>
        </w:rPr>
        <w:t>procedimiento de Adjudicación Directa, para la contratación de la Adquisición de Materiales Eléctricos, con la finalidad de determinar la capacidad de respuesta inmediata, calidad, el precio más conveniente, financiamiento, oportunidad, beneficio y eficacia.</w:t>
      </w:r>
    </w:p>
    <w:p w:rsidR="008E260A" w:rsidRPr="008E260A" w:rsidRDefault="008E260A" w:rsidP="008E260A">
      <w:pPr>
        <w:widowControl w:val="0"/>
        <w:autoSpaceDE w:val="0"/>
        <w:autoSpaceDN w:val="0"/>
        <w:adjustRightInd w:val="0"/>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Es justificable la contratación de una persona física o moral que preste el servicio que nos ocupa, en razón de: </w:t>
      </w:r>
    </w:p>
    <w:p w:rsidR="008E260A" w:rsidRPr="008E260A" w:rsidRDefault="008E260A" w:rsidP="008E260A">
      <w:pPr>
        <w:widowControl w:val="0"/>
        <w:autoSpaceDE w:val="0"/>
        <w:autoSpaceDN w:val="0"/>
        <w:adjustRightInd w:val="0"/>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El principio de legalidad significa que los actos y comportamientos de la administración Municipal deben estar justificados en una ley previa.</w:t>
      </w:r>
    </w:p>
    <w:p w:rsidR="008E260A" w:rsidRPr="008E260A" w:rsidRDefault="008E260A" w:rsidP="008E260A">
      <w:pPr>
        <w:widowControl w:val="0"/>
        <w:autoSpaceDE w:val="0"/>
        <w:autoSpaceDN w:val="0"/>
        <w:adjustRightInd w:val="0"/>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El principio de legalidad enmarca otros conceptos, tales como el de discrecionalidad, que cabe ser entendida no como actividad libre de la ley, sino como actividad que la propia ley confiere y por tanto guía y limita; determina también el alcance y aplicación de algunos conceptos indeterminados, uno de los cuales es el de la especialización.</w:t>
      </w:r>
    </w:p>
    <w:p w:rsidR="008E260A" w:rsidRPr="008E260A" w:rsidRDefault="008E260A"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CONCLUSIONES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Los anteriores argumentos y razonamientos nos permiten derivar en las conclusiones siguientes:</w:t>
      </w: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Las dependencias y entidades, pueden llevar a cabo la contratación mediante los procedimientos de excepción que establecen la fracción I del artículo 74 de la Ley de Adquisiciones, Arrendamientos y Contratación de Servicios del Estado de Chihuahua, cuando por los costos se demuestre un beneficio al Municipio y sea necesaria su pronta contratación, el Titular de la Dependencia de que se trate, podrá contratar mediante el Procedimiento de Adjudicación Directa.</w:t>
      </w:r>
    </w:p>
    <w:p w:rsidR="008E260A" w:rsidRPr="008E260A" w:rsidRDefault="008E260A" w:rsidP="008E260A">
      <w:pPr>
        <w:ind w:left="750"/>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La contratación mediante Adjudicación Directa señalada en el artículo 74 de la Ley de Adquisiciones, Arrendamientos y Contratación de Servicios del Estado de Chihuahua, encuentra su justificación en el orden público e interés general que debe satisfacer la Administración Pública, puesto que su principal característica es que procede en determinadas circunstancias muy calificadas, en las que resulta conveniente contratar.</w:t>
      </w:r>
    </w:p>
    <w:p w:rsidR="008E260A" w:rsidRPr="008E260A" w:rsidRDefault="008E260A" w:rsidP="008E260A">
      <w:pPr>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Que, en los casos de la Adjudicación Directa, se realizará la contratación respectiva con las personas cuyas actividades comerciales o profesionales estén relacionadas con los bienes o servicios requeridos y que no tengan ninguna limitante legal para que se les otorgue dicho fallo.</w:t>
      </w:r>
    </w:p>
    <w:p w:rsidR="008E260A" w:rsidRPr="008E260A" w:rsidRDefault="008E260A" w:rsidP="008E260A">
      <w:pPr>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lastRenderedPageBreak/>
        <w:t xml:space="preserve">Que la selección de cualquier procedimiento de excepción a la licitación pública que realicen las </w:t>
      </w:r>
      <w:proofErr w:type="spellStart"/>
      <w:r w:rsidRPr="008E260A">
        <w:rPr>
          <w:rFonts w:ascii="Calibri" w:eastAsia="Times New Roman" w:hAnsi="Calibri" w:cs="Arial"/>
          <w:sz w:val="22"/>
          <w:szCs w:val="22"/>
          <w:lang w:val="es-MX" w:eastAsia="es-MX"/>
        </w:rPr>
        <w:t>adjudicantes</w:t>
      </w:r>
      <w:proofErr w:type="spellEnd"/>
      <w:r w:rsidRPr="008E260A">
        <w:rPr>
          <w:rFonts w:ascii="Calibri" w:eastAsia="Times New Roman" w:hAnsi="Calibri" w:cs="Arial"/>
          <w:sz w:val="22"/>
          <w:szCs w:val="22"/>
          <w:lang w:val="es-MX" w:eastAsia="es-MX"/>
        </w:rPr>
        <w:t xml:space="preserve"> deberán fundarse y motivarse, en criterios de economía, eficacia, eficiencia, imparcialidad y honradez, que aseguren las mejores condiciones para el Municipio.</w:t>
      </w:r>
    </w:p>
    <w:p w:rsidR="008E260A" w:rsidRPr="008E260A" w:rsidRDefault="008E260A" w:rsidP="008E260A">
      <w:pPr>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Que el </w:t>
      </w:r>
      <w:proofErr w:type="spellStart"/>
      <w:r w:rsidRPr="008E260A">
        <w:rPr>
          <w:rFonts w:ascii="Calibri" w:eastAsia="Times New Roman" w:hAnsi="Calibri" w:cs="Arial"/>
          <w:sz w:val="22"/>
          <w:szCs w:val="22"/>
          <w:lang w:val="es-MX" w:eastAsia="es-MX"/>
        </w:rPr>
        <w:t>acreditamiento</w:t>
      </w:r>
      <w:proofErr w:type="spellEnd"/>
      <w:r w:rsidRPr="008E260A">
        <w:rPr>
          <w:rFonts w:ascii="Calibri" w:eastAsia="Times New Roman" w:hAnsi="Calibri" w:cs="Arial"/>
          <w:sz w:val="22"/>
          <w:szCs w:val="22"/>
          <w:lang w:val="es-MX" w:eastAsia="es-MX"/>
        </w:rPr>
        <w:t xml:space="preserve"> de los criterios mencionados y la justificación de las razones para el ejercicio de la opción cuando se trate de supuestos que prevé el artículo 72 de la Ley de Adquisiciones, Arrendamientos, y Contratación de Servicios del Estado de Chihuahua, deberán constar en un dictamen por escrito y firmado por el Titular del área responsable de la adjudicación.</w:t>
      </w:r>
    </w:p>
    <w:p w:rsidR="008E260A" w:rsidRPr="008E260A" w:rsidRDefault="008E260A" w:rsidP="008E260A">
      <w:pPr>
        <w:ind w:left="750"/>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Que en cualquier supuesto se deberán cotizar personas que cuenten con capacidad de respuesta inmediata, así como con los recursos técnicos, financieros y demás que sean necesarios, y cuyas actividades comerciales o profesionales estén relacionadas con los bienes o servicios objeto del contrato a celebrarse.</w:t>
      </w:r>
    </w:p>
    <w:p w:rsidR="008E260A" w:rsidRPr="008E260A" w:rsidRDefault="008E260A" w:rsidP="008E260A">
      <w:pPr>
        <w:ind w:left="750"/>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Que, en su momento, </w:t>
      </w:r>
      <w:r w:rsidRPr="008E260A">
        <w:rPr>
          <w:rFonts w:ascii="Calibri" w:eastAsia="Times New Roman" w:hAnsi="Calibri" w:cs="Arial"/>
          <w:b/>
          <w:sz w:val="22"/>
          <w:szCs w:val="22"/>
          <w:lang w:val="es-MX" w:eastAsia="es-MX"/>
        </w:rPr>
        <w:t>“EL DIRECTOR”</w:t>
      </w:r>
      <w:r w:rsidRPr="008E260A">
        <w:rPr>
          <w:rFonts w:ascii="Calibri" w:eastAsia="Times New Roman" w:hAnsi="Calibri" w:cs="Arial"/>
          <w:sz w:val="22"/>
          <w:szCs w:val="22"/>
          <w:lang w:val="es-MX" w:eastAsia="es-MX"/>
        </w:rPr>
        <w:t>, en términos de los artículos 74 fracción I de la Ley de Adquisiciones, Arrendamientos y Contratación de Servicios del Estado de Chihuahua, puede adjudicar el servicio antes citado, en virtud de que existen razones suficientes por las cuales se considera la hipótesis jurídica contenida en la ley de la materia para no sujetarse al procedimiento de licitación pública.</w:t>
      </w:r>
    </w:p>
    <w:p w:rsidR="008E260A" w:rsidRPr="008E260A" w:rsidRDefault="008E260A" w:rsidP="008E260A">
      <w:pPr>
        <w:ind w:left="750"/>
        <w:jc w:val="both"/>
        <w:rPr>
          <w:rFonts w:ascii="Calibri" w:eastAsia="Times New Roman" w:hAnsi="Calibri" w:cs="Arial"/>
          <w:sz w:val="22"/>
          <w:szCs w:val="22"/>
          <w:lang w:val="es-MX" w:eastAsia="es-MX"/>
        </w:rPr>
      </w:pPr>
    </w:p>
    <w:p w:rsidR="008E260A" w:rsidRPr="008E260A" w:rsidRDefault="008E260A" w:rsidP="008E260A">
      <w:pPr>
        <w:numPr>
          <w:ilvl w:val="0"/>
          <w:numId w:val="6"/>
        </w:numPr>
        <w:spacing w:after="200" w:line="276" w:lineRule="auto"/>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Que la contratación mediante el Procedimiento de Adjudicación Directa reúne los requisitos que establece el artículo 74 fracción I, de la Ley de Adquisiciones, Arrendamientos y Contratación de Servicios del Estado de Chihuahua, debido a que cumple con los siguientes:</w:t>
      </w:r>
    </w:p>
    <w:p w:rsidR="008E260A" w:rsidRPr="008E260A" w:rsidRDefault="008E260A" w:rsidP="008E260A">
      <w:pPr>
        <w:jc w:val="both"/>
        <w:rPr>
          <w:rFonts w:ascii="Calibri" w:eastAsia="Times New Roman" w:hAnsi="Calibri" w:cs="Arial"/>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CRITERIOS</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Economía:</w:t>
      </w:r>
      <w:r w:rsidRPr="008E260A">
        <w:rPr>
          <w:rFonts w:ascii="Calibri" w:eastAsia="Times New Roman" w:hAnsi="Calibri" w:cs="Arial"/>
          <w:sz w:val="22"/>
          <w:szCs w:val="22"/>
          <w:lang w:val="es-MX" w:eastAsia="es-MX"/>
        </w:rPr>
        <w:t xml:space="preserve"> El presente criterio se acredita atendiendo a la necesidad de contratar la prestación de la Adquisición de Materiales Eléctricos, considerando que la persona a quien se adjudique el contrato, garantizará la calidad del material, siendo este concepto primordial para la viabilidad y consecución del objeto de la presente contratación; y que consolida objetivamente la obtención de las mejores condiciones en cuanto a oferta, calidad, oportunidad, servicio, profesionalismo y tiempo de ejecución, con lo que se acredita el criterio de economía.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Eficiencia:</w:t>
      </w:r>
      <w:r w:rsidRPr="008E260A">
        <w:rPr>
          <w:rFonts w:ascii="Calibri" w:eastAsia="Times New Roman" w:hAnsi="Calibri" w:cs="Arial"/>
          <w:sz w:val="22"/>
          <w:szCs w:val="22"/>
          <w:lang w:val="es-MX" w:eastAsia="es-MX"/>
        </w:rPr>
        <w:t xml:space="preserve"> Este criterio se acredita, con la capacidad de respuesta inmediata de la persona a quien se adjudique el contrato, respecto a la Adquisición de Materiales Eléctricos, resulta evidente la seriedad y profesionalismo con los cuales se conduzca la persona físicas o morales seleccionada.</w:t>
      </w:r>
    </w:p>
    <w:p w:rsidR="008E260A" w:rsidRPr="008E260A" w:rsidRDefault="008E260A" w:rsidP="008E260A">
      <w:pPr>
        <w:autoSpaceDE w:val="0"/>
        <w:autoSpaceDN w:val="0"/>
        <w:adjustRightInd w:val="0"/>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Eficacia:</w:t>
      </w:r>
      <w:r w:rsidRPr="008E260A">
        <w:rPr>
          <w:rFonts w:ascii="Calibri" w:eastAsia="Times New Roman" w:hAnsi="Calibri" w:cs="Arial"/>
          <w:sz w:val="22"/>
          <w:szCs w:val="22"/>
          <w:lang w:val="es-MX" w:eastAsia="es-MX"/>
        </w:rPr>
        <w:t xml:space="preserve"> En virtud de la presente contratación, este criterio representa en primer lugar, que el Gobierno del Municipio de Juárez cubrirá las necesidades prioritarias de conformidad al </w:t>
      </w:r>
      <w:r w:rsidRPr="008E260A">
        <w:rPr>
          <w:rFonts w:ascii="Calibri" w:eastAsia="Times New Roman" w:hAnsi="Calibri" w:cs="Arial"/>
          <w:color w:val="000000"/>
          <w:sz w:val="22"/>
          <w:szCs w:val="22"/>
          <w:lang w:val="es-MX" w:eastAsia="es-MX"/>
        </w:rPr>
        <w:t>Plan Municipal de Desarrollo 2018-2021</w:t>
      </w:r>
      <w:r w:rsidRPr="008E260A">
        <w:rPr>
          <w:rFonts w:ascii="Calibri" w:eastAsia="Times New Roman" w:hAnsi="Calibri" w:cs="Arial"/>
          <w:sz w:val="22"/>
          <w:szCs w:val="22"/>
          <w:lang w:val="es-MX" w:eastAsia="es-MX"/>
        </w:rPr>
        <w:t xml:space="preserve">; y, en segundo lugar, la contratación de prestación de servicios. Además de que la </w:t>
      </w:r>
      <w:r w:rsidRPr="008E260A">
        <w:rPr>
          <w:rFonts w:ascii="Calibri" w:eastAsia="Times New Roman" w:hAnsi="Calibri" w:cs="Arial"/>
          <w:sz w:val="22"/>
          <w:szCs w:val="22"/>
          <w:lang w:val="es-MX" w:eastAsia="es-MX"/>
        </w:rPr>
        <w:lastRenderedPageBreak/>
        <w:t>presente prestación constituye el medio idóneo con el cual el Municipio de Juárez garantiza las mejores condiciones en costo y oportunidad.</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Imparcialidad:</w:t>
      </w:r>
      <w:r w:rsidRPr="008E260A">
        <w:rPr>
          <w:rFonts w:ascii="Calibri" w:eastAsia="Times New Roman" w:hAnsi="Calibri" w:cs="Arial"/>
          <w:sz w:val="22"/>
          <w:szCs w:val="22"/>
          <w:lang w:val="es-MX" w:eastAsia="es-MX"/>
        </w:rPr>
        <w:t xml:space="preserve"> Este criterio se encuentra perfectamente acreditado por medio de los diferentes conceptos plasmados en el apartado de justificación y en el procedimiento de adquisición que se eligió, toda vez que se encuentra completamente apegado a un marco de derecho, se determina considerar las mejores condiciones en precio, calidad, desempeño, servicio, operatividad y seguridad, así como disponibilidad inmediata.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Honradez:</w:t>
      </w:r>
      <w:r w:rsidRPr="008E260A">
        <w:rPr>
          <w:rFonts w:ascii="Calibri" w:eastAsia="Times New Roman" w:hAnsi="Calibri" w:cs="Arial"/>
          <w:sz w:val="22"/>
          <w:szCs w:val="22"/>
          <w:lang w:val="es-MX" w:eastAsia="es-MX"/>
        </w:rPr>
        <w:t xml:space="preserve"> Este criterio se acredita en virtud de que se realizara con transparencia y bajo los preceptos legales para la contratación de servicios, con estricto apego a la ley vigente de la materia, es decir la Justificación de Excepción a la Licitación, mediante la selección del Procedimiento de Adjudicación Directa, contenido en el artículo 74, fracción I de la Ley de Adquisiciones, Arrendamientos y Contratación de Servicios del Estado de Chihuahua. El proceso de adjudicación se llevará a cabo con estricto apego a la normatividad, procediendo con rectitud e integridad, asignando la contratación del servicio a quien ofrece las mejores condiciones para el Municipio de Juárez, prevaleciendo únicamente el interés público que funda y motiva la actuación de los servidores públicos y evitando actuar con falta de ética en las responsabilidades y obligaciones.</w:t>
      </w:r>
    </w:p>
    <w:p w:rsidR="008E260A" w:rsidRPr="008E260A" w:rsidRDefault="008E260A" w:rsidP="008E260A">
      <w:pPr>
        <w:spacing w:after="200"/>
        <w:ind w:right="-136"/>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Por lo anterior, se concluye que la Adquisición de Materiales Eléctricos, permitirá la transparencia fiscal y rendición de cuentas del Municipio de Juárez, es necesario que la misma sea otorgada a favor de </w:t>
      </w:r>
      <w:r w:rsidRPr="008E260A">
        <w:rPr>
          <w:rFonts w:ascii="Calibri" w:eastAsia="Times New Roman" w:hAnsi="Calibri" w:cs="Arial"/>
          <w:b/>
          <w:sz w:val="22"/>
          <w:szCs w:val="22"/>
          <w:lang w:val="es-MX" w:eastAsia="es-MX"/>
        </w:rPr>
        <w:t xml:space="preserve">la persona que resulte adjudicada en el procedimiento de Adjudicación Directa, </w:t>
      </w:r>
      <w:r w:rsidRPr="008E260A">
        <w:rPr>
          <w:rFonts w:ascii="Calibri" w:eastAsia="Times New Roman" w:hAnsi="Calibri" w:cs="Arial"/>
          <w:sz w:val="22"/>
          <w:szCs w:val="22"/>
          <w:lang w:val="es-MX" w:eastAsia="es-MX"/>
        </w:rPr>
        <w:t>dada la seriedad en la realización de la prestación de servicios contratados; en virtud de lo antes expuesto y de conformidad a lo dispuesto en el artículo 74 fracción I de la Ley de Adquisiciones, Arrendamientos, y Contratación de Servicios del Estado de Chihuahua, se determina lo siguiente:</w:t>
      </w:r>
    </w:p>
    <w:p w:rsidR="008E260A" w:rsidRPr="008E260A" w:rsidRDefault="008E260A" w:rsidP="008E260A">
      <w:pPr>
        <w:spacing w:after="200"/>
        <w:jc w:val="both"/>
        <w:rPr>
          <w:rFonts w:ascii="Calibri" w:eastAsia="Times New Roman" w:hAnsi="Calibri" w:cs="Arial"/>
          <w:b/>
          <w:sz w:val="22"/>
          <w:szCs w:val="22"/>
          <w:lang w:val="es-MX" w:eastAsia="es-MX"/>
        </w:rPr>
      </w:pPr>
    </w:p>
    <w:p w:rsidR="008E260A" w:rsidRPr="008E260A" w:rsidRDefault="008E260A" w:rsidP="008E260A">
      <w:pPr>
        <w:spacing w:after="200"/>
        <w:jc w:val="both"/>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 xml:space="preserve">DICTAMEN </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En virtud de lo anteriormente expuesto y fundado, se dictamina:</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PRIMERA.</w:t>
      </w:r>
      <w:r w:rsidRPr="008E260A">
        <w:rPr>
          <w:rFonts w:ascii="Calibri" w:eastAsia="Times New Roman" w:hAnsi="Calibri" w:cs="Arial"/>
          <w:sz w:val="22"/>
          <w:szCs w:val="22"/>
          <w:lang w:val="es-MX" w:eastAsia="es-MX"/>
        </w:rPr>
        <w:t xml:space="preserve"> Resulta procedente solicitar a </w:t>
      </w:r>
      <w:r w:rsidRPr="008E260A">
        <w:rPr>
          <w:rFonts w:ascii="Calibri" w:eastAsia="Times New Roman" w:hAnsi="Calibri" w:cs="Arial"/>
          <w:b/>
          <w:sz w:val="22"/>
          <w:szCs w:val="22"/>
          <w:lang w:val="es-MX" w:eastAsia="es-MX"/>
        </w:rPr>
        <w:t>“EL DIRECTOR”</w:t>
      </w:r>
      <w:r w:rsidRPr="008E260A">
        <w:rPr>
          <w:rFonts w:ascii="Calibri" w:eastAsia="Times New Roman" w:hAnsi="Calibri" w:cs="Arial"/>
          <w:sz w:val="22"/>
          <w:szCs w:val="22"/>
          <w:lang w:val="es-MX" w:eastAsia="es-MX"/>
        </w:rPr>
        <w:t xml:space="preserve"> la asignación de la contratación de la prestación de la adquisición, a través de un procedimiento de </w:t>
      </w:r>
      <w:r w:rsidRPr="008E260A">
        <w:rPr>
          <w:rFonts w:ascii="Calibri" w:eastAsia="Times New Roman" w:hAnsi="Calibri" w:cs="Arial"/>
          <w:b/>
          <w:sz w:val="22"/>
          <w:szCs w:val="22"/>
          <w:lang w:val="es-MX" w:eastAsia="es-MX"/>
        </w:rPr>
        <w:t>ADJUDICACIÓN DIRECTA</w:t>
      </w:r>
      <w:r w:rsidRPr="008E260A">
        <w:rPr>
          <w:rFonts w:ascii="Calibri" w:eastAsia="Times New Roman" w:hAnsi="Calibri" w:cs="Arial"/>
          <w:sz w:val="22"/>
          <w:szCs w:val="22"/>
          <w:lang w:val="es-MX" w:eastAsia="es-MX"/>
        </w:rPr>
        <w:t>, en los términos y tal como se ha referido en el cuerpo del presente instrumento.</w:t>
      </w:r>
    </w:p>
    <w:p w:rsidR="008E260A" w:rsidRPr="008E260A" w:rsidRDefault="008E260A" w:rsidP="008E260A">
      <w:pPr>
        <w:spacing w:after="200"/>
        <w:jc w:val="both"/>
        <w:rPr>
          <w:rFonts w:ascii="Calibri" w:eastAsia="Times New Roman" w:hAnsi="Calibri" w:cs="Arial"/>
          <w:bCs/>
          <w:color w:val="FF0000"/>
          <w:sz w:val="22"/>
          <w:szCs w:val="22"/>
          <w:u w:val="single"/>
          <w:shd w:val="clear" w:color="auto" w:fill="FFFFFF"/>
          <w:lang w:val="es-MX" w:eastAsia="es-MX"/>
        </w:rPr>
      </w:pPr>
      <w:r w:rsidRPr="008E260A">
        <w:rPr>
          <w:rFonts w:ascii="Calibri" w:eastAsia="Times New Roman" w:hAnsi="Calibri" w:cs="Arial"/>
          <w:b/>
          <w:sz w:val="22"/>
          <w:szCs w:val="22"/>
          <w:lang w:val="es-MX" w:eastAsia="es-MX"/>
        </w:rPr>
        <w:t xml:space="preserve">SEGUNDA. </w:t>
      </w:r>
      <w:r w:rsidRPr="008E260A">
        <w:rPr>
          <w:rFonts w:ascii="Calibri" w:eastAsia="Times New Roman" w:hAnsi="Calibri" w:cs="Arial"/>
          <w:sz w:val="22"/>
          <w:szCs w:val="22"/>
          <w:shd w:val="clear" w:color="auto" w:fill="FFFFFF"/>
          <w:lang w:val="es-MX" w:eastAsia="es-MX"/>
        </w:rPr>
        <w:t>El contratar la Adquisición de Materiales Eléctricos, significa la oportunidad de utilizar recursos disponibles para dicha adquisición, de acuerdo Constancia de Verificación Presupuestal No.120 de fecha 01 de abril de 2019 emitido por parte de Tesorería Municipal.</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b/>
          <w:sz w:val="22"/>
          <w:szCs w:val="22"/>
          <w:lang w:val="es-MX" w:eastAsia="es-MX"/>
        </w:rPr>
        <w:t xml:space="preserve">TERCERA. </w:t>
      </w:r>
      <w:r w:rsidRPr="008E260A">
        <w:rPr>
          <w:rFonts w:ascii="Calibri" w:eastAsia="Times New Roman" w:hAnsi="Calibri" w:cs="Arial"/>
          <w:sz w:val="22"/>
          <w:szCs w:val="22"/>
          <w:lang w:val="es-MX" w:eastAsia="es-MX"/>
        </w:rPr>
        <w:t xml:space="preserve">Conforme a lo expuesto en capítulos anteriores, es interés de </w:t>
      </w:r>
      <w:r w:rsidRPr="008E260A">
        <w:rPr>
          <w:rFonts w:ascii="Calibri" w:eastAsia="Times New Roman" w:hAnsi="Calibri" w:cs="Arial"/>
          <w:b/>
          <w:sz w:val="22"/>
          <w:szCs w:val="22"/>
          <w:lang w:val="es-MX" w:eastAsia="es-MX"/>
        </w:rPr>
        <w:t xml:space="preserve">“EL DIRECTOR” </w:t>
      </w:r>
      <w:r w:rsidRPr="008E260A">
        <w:rPr>
          <w:rFonts w:ascii="Calibri" w:eastAsia="Times New Roman" w:hAnsi="Calibri" w:cs="Arial"/>
          <w:sz w:val="22"/>
          <w:szCs w:val="22"/>
          <w:lang w:val="es-MX" w:eastAsia="es-MX"/>
        </w:rPr>
        <w:t>realizar la Contratación para la Adquisición de Material Eléctrico.</w:t>
      </w:r>
    </w:p>
    <w:p w:rsidR="008E260A" w:rsidRPr="008E260A" w:rsidRDefault="008E260A" w:rsidP="008E260A">
      <w:pPr>
        <w:spacing w:after="200"/>
        <w:jc w:val="both"/>
        <w:rPr>
          <w:rFonts w:ascii="Calibri" w:eastAsia="Times New Roman" w:hAnsi="Calibri" w:cs="Arial"/>
          <w:sz w:val="22"/>
          <w:szCs w:val="22"/>
          <w:lang w:val="es-MX" w:eastAsia="es-MX"/>
        </w:rPr>
      </w:pPr>
      <w:r w:rsidRPr="008E260A">
        <w:rPr>
          <w:rFonts w:ascii="Calibri" w:eastAsia="Times New Roman" w:hAnsi="Calibri" w:cs="Arial"/>
          <w:sz w:val="22"/>
          <w:szCs w:val="22"/>
          <w:lang w:val="es-MX" w:eastAsia="es-MX"/>
        </w:rPr>
        <w:t xml:space="preserve">Finalmente, se concluye que, es procedente la contratación indicada en el presente dictamen bajo el procedimiento de adjudicación directa, por excepción a la licitación pública, será realizado conforme a los criterios de economía, eficacia, eficiencia, imparcialidad, honradez y transparencia, que aseguren las mejores condiciones para el Municipio por conducto de </w:t>
      </w:r>
      <w:r w:rsidRPr="008E260A">
        <w:rPr>
          <w:rFonts w:ascii="Calibri" w:eastAsia="Times New Roman" w:hAnsi="Calibri" w:cs="Arial"/>
          <w:b/>
          <w:sz w:val="22"/>
          <w:szCs w:val="22"/>
          <w:lang w:val="es-MX" w:eastAsia="es-MX"/>
        </w:rPr>
        <w:t>“EL DIRECTOR”</w:t>
      </w:r>
      <w:r w:rsidRPr="008E260A">
        <w:rPr>
          <w:rFonts w:ascii="Calibri" w:eastAsia="Times New Roman" w:hAnsi="Calibri" w:cs="Arial"/>
          <w:sz w:val="22"/>
          <w:szCs w:val="22"/>
          <w:lang w:val="es-MX" w:eastAsia="es-MX"/>
        </w:rPr>
        <w:t>; asimismo que es procedente, en mi calidad de Director General de Servicios Públicos.</w:t>
      </w:r>
    </w:p>
    <w:p w:rsidR="008E260A" w:rsidRPr="008E260A" w:rsidRDefault="008E260A" w:rsidP="008E260A">
      <w:pPr>
        <w:spacing w:after="200" w:line="276" w:lineRule="auto"/>
        <w:jc w:val="both"/>
        <w:rPr>
          <w:rFonts w:ascii="Calibri" w:eastAsia="Times New Roman" w:hAnsi="Calibri" w:cs="Arial"/>
          <w:b/>
          <w:bCs/>
          <w:sz w:val="22"/>
          <w:szCs w:val="22"/>
          <w:lang w:val="es-MX" w:eastAsia="es-MX"/>
        </w:rPr>
      </w:pPr>
      <w:r w:rsidRPr="008E260A">
        <w:rPr>
          <w:rFonts w:ascii="Calibri" w:eastAsia="Times New Roman" w:hAnsi="Calibri" w:cs="Arial"/>
          <w:sz w:val="22"/>
          <w:szCs w:val="22"/>
          <w:lang w:val="es-MX" w:eastAsia="es-MX"/>
        </w:rPr>
        <w:lastRenderedPageBreak/>
        <w:t xml:space="preserve">El Director General de Servicios Públicos, suscribir el presente dictamen de justificación para la contratación citada, con la empresa </w:t>
      </w:r>
      <w:r w:rsidRPr="008E260A">
        <w:rPr>
          <w:rFonts w:ascii="Calibri" w:eastAsia="Times New Roman" w:hAnsi="Calibri" w:cs="Arial"/>
          <w:b/>
          <w:sz w:val="22"/>
          <w:szCs w:val="22"/>
          <w:lang w:val="es-MX" w:eastAsia="es-MX"/>
        </w:rPr>
        <w:t>DISTRIBUIDORA ELECTRICA E INDUSTRIAL DE JUAREZ S.A. DE C.V.</w:t>
      </w:r>
      <w:r w:rsidRPr="008E260A">
        <w:rPr>
          <w:rFonts w:ascii="Calibri" w:eastAsia="Times New Roman" w:hAnsi="Calibri" w:cs="Arial"/>
          <w:sz w:val="22"/>
          <w:szCs w:val="22"/>
          <w:lang w:val="es-MX" w:eastAsia="es-MX"/>
        </w:rPr>
        <w:t xml:space="preserve"> con un importe de </w:t>
      </w:r>
      <w:r w:rsidRPr="008E260A">
        <w:rPr>
          <w:rFonts w:ascii="Calibri" w:eastAsia="Times New Roman" w:hAnsi="Calibri" w:cs="Arial"/>
          <w:b/>
          <w:bCs/>
          <w:sz w:val="22"/>
          <w:szCs w:val="22"/>
          <w:lang w:val="es-MX" w:eastAsia="es-MX"/>
        </w:rPr>
        <w:t xml:space="preserve">$1,038,049.56 (UN MILLÓN TREINTA Y OCHO MIL CUARENTA Y NUEVE PESOS 56 /100 M.N), incluyendo el Impuesto al Valor Agregado, </w:t>
      </w:r>
      <w:r w:rsidRPr="008E260A">
        <w:rPr>
          <w:rFonts w:ascii="Calibri" w:eastAsia="Times New Roman" w:hAnsi="Calibri" w:cs="Arial"/>
          <w:sz w:val="22"/>
          <w:szCs w:val="22"/>
          <w:lang w:val="es-MX" w:eastAsia="es-MX"/>
        </w:rPr>
        <w:t xml:space="preserve">tomando en consideración los términos, cantidades y características descritas en la constancia presupuestal </w:t>
      </w:r>
      <w:r w:rsidRPr="008E260A">
        <w:rPr>
          <w:rFonts w:ascii="Calibri" w:eastAsia="Times New Roman" w:hAnsi="Calibri" w:cs="Arial"/>
          <w:b/>
          <w:bCs/>
          <w:i/>
          <w:iCs/>
          <w:sz w:val="22"/>
          <w:szCs w:val="22"/>
          <w:lang w:val="es-MX" w:eastAsia="es-MX"/>
        </w:rPr>
        <w:t>número 120 emitida por la Tesorería Municipal</w:t>
      </w:r>
      <w:r w:rsidRPr="008E260A">
        <w:rPr>
          <w:rFonts w:ascii="Calibri" w:eastAsia="Times New Roman" w:hAnsi="Calibri" w:cs="Arial"/>
          <w:b/>
          <w:bCs/>
          <w:sz w:val="22"/>
          <w:szCs w:val="22"/>
          <w:lang w:val="es-MX" w:eastAsia="es-MX"/>
        </w:rPr>
        <w:t>.</w:t>
      </w:r>
    </w:p>
    <w:p w:rsidR="008E260A" w:rsidRPr="008E260A" w:rsidRDefault="008E260A" w:rsidP="008E260A">
      <w:pPr>
        <w:jc w:val="center"/>
        <w:rPr>
          <w:rFonts w:ascii="Calibri" w:eastAsia="Times New Roman" w:hAnsi="Calibri" w:cs="Arial"/>
          <w:b/>
          <w:sz w:val="22"/>
          <w:szCs w:val="22"/>
          <w:lang w:val="es-MX" w:eastAsia="es-MX"/>
        </w:rPr>
      </w:pPr>
    </w:p>
    <w:p w:rsidR="008E260A" w:rsidRPr="008E260A" w:rsidRDefault="008E260A" w:rsidP="008E260A">
      <w:pPr>
        <w:jc w:val="center"/>
        <w:rPr>
          <w:rFonts w:ascii="Calibri" w:eastAsia="Times New Roman" w:hAnsi="Calibri" w:cs="Arial"/>
          <w:b/>
          <w:sz w:val="22"/>
          <w:szCs w:val="22"/>
          <w:lang w:val="es-MX" w:eastAsia="es-MX"/>
        </w:rPr>
      </w:pPr>
      <w:r w:rsidRPr="008E260A">
        <w:rPr>
          <w:rFonts w:ascii="Calibri" w:eastAsia="Times New Roman" w:hAnsi="Calibri" w:cs="Arial"/>
          <w:b/>
          <w:sz w:val="22"/>
          <w:szCs w:val="22"/>
          <w:lang w:val="es-MX" w:eastAsia="es-MX"/>
        </w:rPr>
        <w:t>ATENTAMENTE</w:t>
      </w:r>
    </w:p>
    <w:p w:rsidR="008E260A" w:rsidRPr="008E260A" w:rsidRDefault="008E260A" w:rsidP="008E260A">
      <w:pPr>
        <w:rPr>
          <w:rFonts w:ascii="Calibri" w:eastAsia="Times New Roman" w:hAnsi="Calibri" w:cs="Arial"/>
          <w:b/>
          <w:sz w:val="22"/>
          <w:szCs w:val="22"/>
          <w:lang w:val="es-MX" w:eastAsia="es-MX"/>
        </w:rPr>
      </w:pPr>
    </w:p>
    <w:p w:rsidR="008E260A" w:rsidRPr="008E260A" w:rsidRDefault="008E260A" w:rsidP="008E260A">
      <w:pPr>
        <w:jc w:val="center"/>
        <w:rPr>
          <w:rFonts w:ascii="Calibri" w:eastAsia="Times New Roman" w:hAnsi="Calibri" w:cs="Arial"/>
          <w:b/>
          <w:sz w:val="22"/>
          <w:szCs w:val="22"/>
          <w:lang w:val="es-MX" w:eastAsia="es-MX"/>
        </w:rPr>
      </w:pPr>
    </w:p>
    <w:p w:rsidR="008E260A" w:rsidRPr="008E260A" w:rsidRDefault="008E260A" w:rsidP="008E260A">
      <w:pPr>
        <w:jc w:val="center"/>
        <w:rPr>
          <w:rFonts w:ascii="Calibri" w:eastAsia="Times New Roman" w:hAnsi="Calibri" w:cs="Arial"/>
          <w:b/>
          <w:sz w:val="22"/>
          <w:szCs w:val="22"/>
          <w:lang w:val="es-MX" w:eastAsia="es-MX"/>
        </w:rPr>
      </w:pPr>
    </w:p>
    <w:p w:rsidR="008E260A" w:rsidRPr="008E260A" w:rsidRDefault="008E260A" w:rsidP="008E260A">
      <w:pPr>
        <w:jc w:val="center"/>
        <w:rPr>
          <w:rFonts w:ascii="Calibri" w:eastAsia="Times New Roman" w:hAnsi="Calibri" w:cs="Arial"/>
          <w:b/>
          <w:bCs/>
          <w:sz w:val="22"/>
          <w:szCs w:val="22"/>
          <w:lang w:val="es-MX" w:eastAsia="es-MX"/>
        </w:rPr>
      </w:pPr>
      <w:r w:rsidRPr="008E260A">
        <w:rPr>
          <w:rFonts w:ascii="Calibri" w:eastAsia="Times New Roman" w:hAnsi="Calibri" w:cs="Arial"/>
          <w:b/>
          <w:bCs/>
          <w:sz w:val="22"/>
          <w:szCs w:val="22"/>
          <w:lang w:val="es-MX" w:eastAsia="es-MX"/>
        </w:rPr>
        <w:t>C. DANIEL PANDO MORALES</w:t>
      </w:r>
    </w:p>
    <w:p w:rsidR="008E260A" w:rsidRPr="008E260A" w:rsidRDefault="008E260A" w:rsidP="008E260A">
      <w:pPr>
        <w:jc w:val="center"/>
        <w:rPr>
          <w:rFonts w:ascii="Calibri" w:eastAsia="Times New Roman" w:hAnsi="Calibri" w:cs="Arial"/>
          <w:b/>
          <w:bCs/>
          <w:sz w:val="22"/>
          <w:szCs w:val="22"/>
          <w:lang w:val="es-MX" w:eastAsia="es-MX"/>
        </w:rPr>
      </w:pPr>
      <w:r w:rsidRPr="008E260A">
        <w:rPr>
          <w:rFonts w:ascii="Calibri" w:eastAsia="Times New Roman" w:hAnsi="Calibri" w:cs="Arial"/>
          <w:b/>
          <w:bCs/>
          <w:sz w:val="22"/>
          <w:szCs w:val="22"/>
          <w:lang w:val="es-MX" w:eastAsia="es-MX"/>
        </w:rPr>
        <w:t>DIRECTOR GENERAL DE SERVICIOS PUBLICOS</w:t>
      </w:r>
    </w:p>
    <w:p w:rsidR="008E260A" w:rsidRDefault="008E260A" w:rsidP="008E260A">
      <w:pPr>
        <w:jc w:val="center"/>
        <w:rPr>
          <w:rFonts w:ascii="Perpetua" w:eastAsia="Times New Roman" w:hAnsi="Perpetua" w:cs="Arial"/>
          <w:b/>
          <w:bCs/>
          <w:i/>
          <w:iCs/>
          <w:sz w:val="20"/>
          <w:szCs w:val="20"/>
          <w:lang w:val="es-MX" w:eastAsia="es-MX"/>
        </w:rPr>
      </w:pPr>
      <w:r w:rsidRPr="008E260A">
        <w:rPr>
          <w:rFonts w:ascii="Perpetua" w:eastAsia="Times New Roman" w:hAnsi="Perpetua" w:cs="Arial"/>
          <w:b/>
          <w:bCs/>
          <w:i/>
          <w:iCs/>
          <w:sz w:val="20"/>
          <w:szCs w:val="20"/>
          <w:lang w:val="es-MX" w:eastAsia="es-MX"/>
        </w:rPr>
        <w:t>"2019, Año Internacional de las Lenguas Indígenas"</w:t>
      </w: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p w:rsidR="00770DC1" w:rsidRDefault="00770DC1" w:rsidP="008E260A">
      <w:pPr>
        <w:jc w:val="center"/>
        <w:rPr>
          <w:rFonts w:ascii="Perpetua" w:eastAsia="Times New Roman" w:hAnsi="Perpetua" w:cs="Arial"/>
          <w:b/>
          <w:bCs/>
          <w:i/>
          <w:iCs/>
          <w:sz w:val="20"/>
          <w:szCs w:val="20"/>
          <w:lang w:val="es-MX" w:eastAsia="es-MX"/>
        </w:rPr>
      </w:pPr>
    </w:p>
    <w:tbl>
      <w:tblPr>
        <w:tblpPr w:leftFromText="141" w:rightFromText="141" w:horzAnchor="page" w:tblpX="1" w:tblpY="-1410"/>
        <w:tblW w:w="19900" w:type="dxa"/>
        <w:tblCellMar>
          <w:left w:w="70" w:type="dxa"/>
          <w:right w:w="70" w:type="dxa"/>
        </w:tblCellMar>
        <w:tblLook w:val="04A0" w:firstRow="1" w:lastRow="0" w:firstColumn="1" w:lastColumn="0" w:noHBand="0" w:noVBand="1"/>
      </w:tblPr>
      <w:tblGrid>
        <w:gridCol w:w="300"/>
        <w:gridCol w:w="332"/>
        <w:gridCol w:w="311"/>
        <w:gridCol w:w="3051"/>
        <w:gridCol w:w="5764"/>
        <w:gridCol w:w="311"/>
        <w:gridCol w:w="311"/>
        <w:gridCol w:w="300"/>
        <w:gridCol w:w="300"/>
        <w:gridCol w:w="300"/>
        <w:gridCol w:w="300"/>
        <w:gridCol w:w="300"/>
        <w:gridCol w:w="300"/>
        <w:gridCol w:w="300"/>
        <w:gridCol w:w="1180"/>
        <w:gridCol w:w="880"/>
        <w:gridCol w:w="880"/>
        <w:gridCol w:w="880"/>
        <w:gridCol w:w="880"/>
        <w:gridCol w:w="680"/>
        <w:gridCol w:w="680"/>
        <w:gridCol w:w="680"/>
        <w:gridCol w:w="680"/>
      </w:tblGrid>
      <w:tr w:rsidR="00770DC1" w:rsidRPr="002639D8" w:rsidTr="0013392D">
        <w:trPr>
          <w:trHeight w:val="315"/>
        </w:trPr>
        <w:tc>
          <w:tcPr>
            <w:tcW w:w="300" w:type="dxa"/>
            <w:tcBorders>
              <w:top w:val="single" w:sz="12" w:space="0" w:color="000000"/>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bookmarkStart w:id="0" w:name="RANGE!A1:H56"/>
            <w:r w:rsidRPr="002639D8">
              <w:rPr>
                <w:rFonts w:ascii="Tahoma" w:eastAsia="Times New Roman" w:hAnsi="Tahoma" w:cs="Tahoma"/>
                <w:color w:val="000000"/>
                <w:sz w:val="20"/>
                <w:szCs w:val="20"/>
                <w:lang w:eastAsia="es-MX"/>
              </w:rPr>
              <w:lastRenderedPageBreak/>
              <w:t> </w:t>
            </w:r>
            <w:bookmarkEnd w:id="0"/>
          </w:p>
        </w:tc>
        <w:tc>
          <w:tcPr>
            <w:tcW w:w="10080" w:type="dxa"/>
            <w:gridSpan w:val="6"/>
            <w:tcBorders>
              <w:top w:val="nil"/>
              <w:left w:val="nil"/>
              <w:bottom w:val="nil"/>
              <w:right w:val="nil"/>
            </w:tcBorders>
            <w:shd w:val="clear" w:color="auto" w:fill="auto"/>
            <w:noWrap/>
            <w:vAlign w:val="bottom"/>
            <w:hideMark/>
          </w:tcPr>
          <w:p w:rsidR="00770DC1" w:rsidRPr="002639D8" w:rsidRDefault="00770DC1" w:rsidP="0013392D">
            <w:pPr>
              <w:rPr>
                <w:rFonts w:ascii="Arial" w:eastAsia="Times New Roman" w:hAnsi="Arial" w:cs="Arial"/>
                <w:sz w:val="20"/>
                <w:szCs w:val="20"/>
                <w:lang w:eastAsia="es-MX"/>
              </w:rPr>
            </w:pPr>
            <w:r w:rsidRPr="002639D8">
              <w:rPr>
                <w:rFonts w:ascii="Arial" w:eastAsia="Times New Roman" w:hAnsi="Arial" w:cs="Arial"/>
                <w:noProof/>
                <w:sz w:val="20"/>
                <w:szCs w:val="20"/>
              </w:rPr>
              <w:drawing>
                <wp:anchor distT="0" distB="0" distL="114300" distR="114300" simplePos="0" relativeHeight="251672576" behindDoc="0" locked="0" layoutInCell="1" allowOverlap="1" wp14:anchorId="50118EEC" wp14:editId="4CA4D990">
                  <wp:simplePos x="0" y="0"/>
                  <wp:positionH relativeFrom="column">
                    <wp:posOffset>28575</wp:posOffset>
                  </wp:positionH>
                  <wp:positionV relativeFrom="paragraph">
                    <wp:posOffset>19050</wp:posOffset>
                  </wp:positionV>
                  <wp:extent cx="647700" cy="781050"/>
                  <wp:effectExtent l="0" t="0" r="0" b="0"/>
                  <wp:wrapNone/>
                  <wp:docPr id="1" name="Imagen 1">
                    <a:extLst xmlns:a="http://schemas.openxmlformats.org/drawingml/2006/main">
                      <a:ext uri="{63B3BB69-23CF-44E3-9099-C40C66FF867C}">
                        <a14:compatExt xmlns:a14="http://schemas.microsoft.com/office/drawing/2010/main" spid="_x0000_s83087"/>
                      </a:ext>
                    </a:extLst>
                  </wp:docPr>
                  <wp:cNvGraphicFramePr/>
                  <a:graphic xmlns:a="http://schemas.openxmlformats.org/drawingml/2006/main">
                    <a:graphicData uri="http://schemas.openxmlformats.org/drawingml/2006/picture">
                      <pic:pic xmlns:pic="http://schemas.openxmlformats.org/drawingml/2006/picture">
                        <pic:nvPicPr>
                          <pic:cNvPr id="2" name="Object 143">
                            <a:extLst>
                              <a:ext uri="{63B3BB69-23CF-44E3-9099-C40C66FF867C}">
                                <a14:compatExt xmlns:a14="http://schemas.microsoft.com/office/drawing/2010/main" spid="_x0000_s83087"/>
                              </a:ext>
                            </a:extLst>
                          </pic:cNvPr>
                          <pic:cNvPicPr>
                            <a:picLocks noChangeAspect="1"/>
                          </pic:cNvPicPr>
                        </pic:nvPicPr>
                        <pic:blipFill>
                          <a:blip r:embed="rId9"/>
                          <a:stretch>
                            <a:fillRect/>
                          </a:stretch>
                        </pic:blipFill>
                        <pic:spPr>
                          <a:xfrm>
                            <a:off x="0" y="0"/>
                            <a:ext cx="647700" cy="781050"/>
                          </a:xfrm>
                          <a:prstGeom prst="rect">
                            <a:avLst/>
                          </a:prstGeom>
                        </pic:spPr>
                      </pic:pic>
                    </a:graphicData>
                  </a:graphic>
                  <wp14:sizeRelH relativeFrom="page">
                    <wp14:pctWidth>0</wp14:pctWidth>
                  </wp14:sizeRelH>
                  <wp14:sizeRelV relativeFrom="page">
                    <wp14:pctHeight>0</wp14:pctHeight>
                  </wp14:sizeRelV>
                </wp:anchor>
              </w:drawing>
            </w:r>
            <w:r w:rsidRPr="002639D8">
              <w:rPr>
                <w:rFonts w:ascii="Arial" w:eastAsia="Times New Roman" w:hAnsi="Arial" w:cs="Arial"/>
                <w:noProof/>
                <w:sz w:val="20"/>
                <w:szCs w:val="20"/>
              </w:rPr>
              <mc:AlternateContent>
                <mc:Choice Requires="wps">
                  <w:drawing>
                    <wp:anchor distT="0" distB="0" distL="114300" distR="114300" simplePos="0" relativeHeight="251670528" behindDoc="0" locked="0" layoutInCell="1" allowOverlap="1" wp14:anchorId="6B3B3D61" wp14:editId="5AAEAACC">
                      <wp:simplePos x="0" y="0"/>
                      <wp:positionH relativeFrom="column">
                        <wp:posOffset>5162550</wp:posOffset>
                      </wp:positionH>
                      <wp:positionV relativeFrom="paragraph">
                        <wp:posOffset>28575</wp:posOffset>
                      </wp:positionV>
                      <wp:extent cx="552450" cy="333375"/>
                      <wp:effectExtent l="0" t="0" r="0" b="0"/>
                      <wp:wrapNone/>
                      <wp:docPr id="104560" name="Rectángulo 104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552450" cy="333375"/>
                              </a:xfrm>
                              <a:prstGeom prst="rect">
                                <a:avLst/>
                              </a:prstGeom>
                              <a:extLst>
                                <a:ext uri="{91240B29-F687-4F45-9708-019B960494DF}">
                                  <a14:hiddenLine xmlns:a14="http://schemas.microsoft.com/office/drawing/2010/main" w="9525">
                                    <a:solidFill>
                                      <a:srgbClr val="000000"/>
                                    </a:solidFill>
                                    <a:round/>
                                    <a:headEnd/>
                                    <a:tailEnd/>
                                  </a14:hiddenLine>
                                </a:ext>
                              </a:extLst>
                            </wps:spPr>
                            <wps:bodyPr wrap="none" numCol="1" fromWordArt="1">
                              <a:prstTxWarp prst="textPlain">
                                <a:avLst>
                                  <a:gd name="adj" fmla="val 46551"/>
                                </a:avLst>
                              </a:prstTxWarp>
                            </wps:bodyPr>
                          </wps:wsp>
                        </a:graphicData>
                      </a:graphic>
                      <wp14:sizeRelH relativeFrom="page">
                        <wp14:pctWidth>0</wp14:pctWidth>
                      </wp14:sizeRelH>
                      <wp14:sizeRelV relativeFrom="page">
                        <wp14:pctHeight>0</wp14:pctHeight>
                      </wp14:sizeRelV>
                    </wp:anchor>
                  </w:drawing>
                </mc:Choice>
                <mc:Fallback>
                  <w:pict>
                    <v:rect w14:anchorId="38D2355C" id="Rectángulo 104560" o:spid="_x0000_s1026" style="position:absolute;margin-left:406.5pt;margin-top:2.25pt;width:43.5pt;height:26.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" filled="f" stroked="f">
                      <v:stroke joinstyle="round"/>
                      <o:lock v:ext="edit" text="t" shapetype="t"/>
                    </v:rect>
                  </w:pict>
                </mc:Fallback>
              </mc:AlternateContent>
            </w:r>
            <w:r w:rsidRPr="002639D8">
              <w:rPr>
                <w:rFonts w:ascii="Arial" w:eastAsia="Times New Roman" w:hAnsi="Arial" w:cs="Arial"/>
                <w:noProof/>
                <w:sz w:val="20"/>
                <w:szCs w:val="20"/>
              </w:rPr>
              <mc:AlternateContent>
                <mc:Choice Requires="wps">
                  <w:drawing>
                    <wp:anchor distT="0" distB="0" distL="114300" distR="114300" simplePos="0" relativeHeight="251671552" behindDoc="0" locked="0" layoutInCell="1" allowOverlap="1" wp14:anchorId="79DB37FC" wp14:editId="69FFC39E">
                      <wp:simplePos x="0" y="0"/>
                      <wp:positionH relativeFrom="column">
                        <wp:posOffset>4124325</wp:posOffset>
                      </wp:positionH>
                      <wp:positionV relativeFrom="paragraph">
                        <wp:posOffset>0</wp:posOffset>
                      </wp:positionV>
                      <wp:extent cx="1285875" cy="409575"/>
                      <wp:effectExtent l="0" t="0" r="0" b="0"/>
                      <wp:wrapNone/>
                      <wp:docPr id="14" name="Rectángulo 14"/>
                      <wp:cNvGraphicFramePr/>
                      <a:graphic xmlns:a="http://schemas.openxmlformats.org/drawingml/2006/main">
                        <a:graphicData uri="http://schemas.microsoft.com/office/word/2010/wordprocessingShape">
                          <wps:wsp>
                            <wps:cNvSpPr/>
                            <wps:spPr>
                              <a:xfrm>
                                <a:off x="0" y="0"/>
                                <a:ext cx="1285875" cy="409575"/>
                              </a:xfrm>
                              <a:prstGeom prst="rect">
                                <a:avLst/>
                              </a:prstGeom>
                              <a:noFill/>
                            </wps:spPr>
                            <wps:txbx>
                              <w:txbxContent>
                                <w:p w:rsidR="00770DC1" w:rsidRPr="00821AFF" w:rsidRDefault="00770DC1" w:rsidP="00770DC1">
                                  <w:pPr>
                                    <w:pStyle w:val="NormalWeb"/>
                                    <w:spacing w:before="0" w:beforeAutospacing="0" w:after="0" w:afterAutospacing="0"/>
                                    <w:jc w:val="center"/>
                                    <w:rPr>
                                      <w14:props3d w14:extrusionH="25400" w14:contourW="8890" w14:prstMaterial="warmMatte">
                                        <w14:bevelT w14:w="38100" w14:h="31750" w14:prst="circle"/>
                                        <w14:contourClr>
                                          <w14:schemeClr w14:val="accent2">
                                            <w14:shade w14:val="75000"/>
                                          </w14:schemeClr>
                                        </w14:contourClr>
                                      </w14:props3d>
                                    </w:rPr>
                                  </w:pPr>
                                  <w:r w:rsidRPr="002639D8">
                                    <w:rPr>
                                      <w:rFonts w:asciiTheme="minorHAnsi" w:hAnsi="Calibri" w:cstheme="minorBidi"/>
                                      <w:b/>
                                      <w:bCs/>
                                      <w:color w:val="C00000"/>
                                      <w:sz w:val="48"/>
                                      <w:szCs w:val="48"/>
                                      <w:lang w:val="es-ES"/>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2019</w:t>
                                  </w:r>
                                </w:p>
                              </w:txbxContent>
                            </wps:txbx>
                            <wps:bodyPr wrap="square" lIns="91440" tIns="45720" rIns="91440" bIns="4572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rect w14:anchorId="79DB37FC" id="Rectángulo 14" o:spid="_x0000_s1027" style="position:absolute;margin-left:324.75pt;margin-top:0;width:101.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" filled="f" stroked="f">
                      <v:textbox>
                        <w:txbxContent>
                          <w:p w:rsidR="00770DC1" w:rsidRPr="00821AFF" w:rsidRDefault="00770DC1" w:rsidP="00770DC1">
                            <w:pPr>
                              <w:pStyle w:val="NormalWeb"/>
                              <w:spacing w:before="0" w:beforeAutospacing="0" w:after="0" w:afterAutospacing="0"/>
                              <w:jc w:val="center"/>
                              <w:rPr>
                                <w14:props3d w14:extrusionH="25400" w14:contourW="8890" w14:prstMaterial="warmMatte">
                                  <w14:bevelT w14:w="38100" w14:h="31750" w14:prst="circle"/>
                                  <w14:contourClr>
                                    <w14:schemeClr w14:val="accent2">
                                      <w14:shade w14:val="75000"/>
                                    </w14:schemeClr>
                                  </w14:contourClr>
                                </w14:props3d>
                              </w:rPr>
                            </w:pPr>
                            <w:r w:rsidRPr="002639D8">
                              <w:rPr>
                                <w:rFonts w:asciiTheme="minorHAnsi" w:hAnsi="Calibri" w:cstheme="minorBidi"/>
                                <w:b/>
                                <w:bCs/>
                                <w:color w:val="C00000"/>
                                <w:sz w:val="48"/>
                                <w:szCs w:val="48"/>
                                <w:lang w:val="es-ES"/>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2019</w:t>
                            </w:r>
                          </w:p>
                        </w:txbxContent>
                      </v:textbox>
                    </v:rect>
                  </w:pict>
                </mc:Fallback>
              </mc:AlternateContent>
            </w:r>
            <w:r w:rsidRPr="002639D8">
              <w:rPr>
                <w:rFonts w:ascii="Arial" w:eastAsia="Times New Roman" w:hAnsi="Arial" w:cs="Arial"/>
                <w:noProof/>
                <w:sz w:val="20"/>
                <w:szCs w:val="20"/>
              </w:rPr>
              <w:drawing>
                <wp:anchor distT="0" distB="0" distL="114300" distR="114300" simplePos="0" relativeHeight="251674624" behindDoc="0" locked="0" layoutInCell="1" allowOverlap="1" wp14:anchorId="14007505" wp14:editId="7095F484">
                  <wp:simplePos x="0" y="0"/>
                  <wp:positionH relativeFrom="column">
                    <wp:posOffset>5429250</wp:posOffset>
                  </wp:positionH>
                  <wp:positionV relativeFrom="paragraph">
                    <wp:posOffset>28575</wp:posOffset>
                  </wp:positionV>
                  <wp:extent cx="819150" cy="371475"/>
                  <wp:effectExtent l="0" t="0" r="0" b="9525"/>
                  <wp:wrapNone/>
                  <wp:docPr id="125271" name="Imagen 125271" descr="C:\Users\amelia.ruiz\AppData\Local\Microsoft\Windows\Temporary Internet Files\Content.Word\ESCUDO Y LEYENDA_2018-2021.jpg"/>
                  <wp:cNvGraphicFramePr/>
                  <a:graphic xmlns:a="http://schemas.openxmlformats.org/drawingml/2006/main">
                    <a:graphicData uri="http://schemas.openxmlformats.org/drawingml/2006/picture">
                      <pic:pic xmlns:pic="http://schemas.openxmlformats.org/drawingml/2006/picture">
                        <pic:nvPicPr>
                          <pic:cNvPr id="125271" name="Imagen 20" descr="C:\Users\amelia.ruiz\AppData\Local\Microsoft\Windows\Temporary Internet Files\Content.Word\ESCUDO Y LEYENDA_2018-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t="5981" b="9402"/>
                          <a:stretch>
                            <a:fillRect/>
                          </a:stretch>
                        </pic:blipFill>
                        <pic:spPr bwMode="auto">
                          <a:xfrm>
                            <a:off x="0" y="0"/>
                            <a:ext cx="819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940"/>
            </w:tblGrid>
            <w:tr w:rsidR="00770DC1" w:rsidRPr="002639D8" w:rsidTr="0013392D">
              <w:trPr>
                <w:trHeight w:val="315"/>
                <w:tblCellSpacing w:w="0" w:type="dxa"/>
              </w:trPr>
              <w:tc>
                <w:tcPr>
                  <w:tcW w:w="9940" w:type="dxa"/>
                  <w:tcBorders>
                    <w:top w:val="single" w:sz="12" w:space="0" w:color="000000"/>
                    <w:left w:val="nil"/>
                    <w:bottom w:val="nil"/>
                    <w:right w:val="nil"/>
                  </w:tcBorders>
                  <w:shd w:val="clear" w:color="000000" w:fill="FFFFFF"/>
                  <w:noWrap/>
                  <w:vAlign w:val="bottom"/>
                  <w:hideMark/>
                </w:tcPr>
                <w:p w:rsidR="00770DC1" w:rsidRPr="002639D8" w:rsidRDefault="00770DC1" w:rsidP="0013392D">
                  <w:pPr>
                    <w:framePr w:hSpace="141" w:wrap="around" w:hAnchor="page" w:x="1" w:y="-1410"/>
                    <w:jc w:val="center"/>
                    <w:rPr>
                      <w:rFonts w:ascii="Tahoma" w:eastAsia="Times New Roman" w:hAnsi="Tahoma" w:cs="Tahoma"/>
                      <w:b/>
                      <w:bCs/>
                      <w:color w:val="800000"/>
                      <w:lang w:eastAsia="es-MX"/>
                    </w:rPr>
                  </w:pPr>
                  <w:r w:rsidRPr="002639D8">
                    <w:rPr>
                      <w:rFonts w:ascii="Tahoma" w:eastAsia="Times New Roman" w:hAnsi="Tahoma" w:cs="Tahoma"/>
                      <w:b/>
                      <w:bCs/>
                      <w:color w:val="800000"/>
                      <w:lang w:eastAsia="es-MX"/>
                    </w:rPr>
                    <w:t>MUNICIPIO DE JUAREZ</w:t>
                  </w:r>
                </w:p>
              </w:tc>
            </w:tr>
          </w:tbl>
          <w:p w:rsidR="00770DC1" w:rsidRPr="002639D8" w:rsidRDefault="00770DC1" w:rsidP="0013392D">
            <w:pPr>
              <w:rPr>
                <w:rFonts w:ascii="Arial" w:eastAsia="Times New Roman" w:hAnsi="Arial" w:cs="Arial"/>
                <w:sz w:val="20"/>
                <w:szCs w:val="20"/>
                <w:lang w:eastAsia="es-MX"/>
              </w:rPr>
            </w:pPr>
          </w:p>
        </w:tc>
        <w:tc>
          <w:tcPr>
            <w:tcW w:w="300" w:type="dxa"/>
            <w:tcBorders>
              <w:top w:val="single" w:sz="12" w:space="0" w:color="000000"/>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9769" w:type="dxa"/>
            <w:gridSpan w:val="5"/>
            <w:tcBorders>
              <w:top w:val="nil"/>
              <w:left w:val="nil"/>
              <w:bottom w:val="nil"/>
              <w:right w:val="nil"/>
            </w:tcBorders>
            <w:shd w:val="clear" w:color="000000" w:fill="FFFFFF"/>
            <w:noWrap/>
            <w:vAlign w:val="bottom"/>
            <w:hideMark/>
          </w:tcPr>
          <w:p w:rsidR="00770DC1" w:rsidRPr="002639D8" w:rsidRDefault="00770DC1" w:rsidP="0013392D">
            <w:pPr>
              <w:jc w:val="center"/>
              <w:rPr>
                <w:rFonts w:ascii="Tahoma" w:eastAsia="Times New Roman" w:hAnsi="Tahoma" w:cs="Tahoma"/>
                <w:b/>
                <w:bCs/>
                <w:color w:val="800000"/>
                <w:sz w:val="20"/>
                <w:szCs w:val="20"/>
                <w:lang w:eastAsia="es-MX"/>
              </w:rPr>
            </w:pPr>
            <w:r w:rsidRPr="002639D8">
              <w:rPr>
                <w:rFonts w:ascii="Tahoma" w:eastAsia="Times New Roman" w:hAnsi="Tahoma" w:cs="Tahoma"/>
                <w:b/>
                <w:bCs/>
                <w:color w:val="800000"/>
                <w:sz w:val="20"/>
                <w:szCs w:val="20"/>
                <w:lang w:eastAsia="es-MX"/>
              </w:rPr>
              <w:t>TESORERIA MUNICIPAL</w:t>
            </w:r>
          </w:p>
        </w:tc>
        <w:tc>
          <w:tcPr>
            <w:tcW w:w="311"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color w:val="800000"/>
                <w:sz w:val="20"/>
                <w:szCs w:val="20"/>
                <w:lang w:eastAsia="es-MX"/>
              </w:rPr>
            </w:pP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7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nil"/>
            </w:tcBorders>
            <w:shd w:val="clear" w:color="000000" w:fill="FFFFFF"/>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000000" w:fill="FFFFFF"/>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5764" w:type="dxa"/>
            <w:tcBorders>
              <w:top w:val="nil"/>
              <w:left w:val="nil"/>
              <w:bottom w:val="nil"/>
              <w:right w:val="nil"/>
            </w:tcBorders>
            <w:shd w:val="clear" w:color="000000" w:fill="FFFFFF"/>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nil"/>
            </w:tcBorders>
            <w:shd w:val="clear" w:color="000000" w:fill="FFFFFF"/>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13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double" w:sz="6" w:space="0" w:color="800000"/>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double" w:sz="6" w:space="0" w:color="800000"/>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double" w:sz="6" w:space="0" w:color="800000"/>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5764" w:type="dxa"/>
            <w:tcBorders>
              <w:top w:val="double" w:sz="6" w:space="0" w:color="800000"/>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double" w:sz="6" w:space="0" w:color="800000"/>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double" w:sz="6" w:space="0" w:color="800000"/>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19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double" w:sz="6" w:space="0" w:color="auto"/>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double" w:sz="6" w:space="0" w:color="auto"/>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5764" w:type="dxa"/>
            <w:tcBorders>
              <w:top w:val="double" w:sz="6" w:space="0" w:color="auto"/>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double" w:sz="6" w:space="0" w:color="auto"/>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31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tcBorders>
              <w:top w:val="double" w:sz="6" w:space="0" w:color="000000"/>
              <w:left w:val="double" w:sz="6" w:space="0" w:color="000000"/>
              <w:bottom w:val="double" w:sz="6" w:space="0" w:color="000000"/>
              <w:right w:val="double" w:sz="6" w:space="0" w:color="000000"/>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lang w:eastAsia="es-MX"/>
              </w:rPr>
            </w:pPr>
            <w:r w:rsidRPr="002639D8">
              <w:rPr>
                <w:rFonts w:ascii="Tahoma" w:eastAsia="Times New Roman" w:hAnsi="Tahoma" w:cs="Tahoma"/>
                <w:b/>
                <w:bCs/>
                <w:color w:val="002060"/>
                <w:lang w:eastAsia="es-MX"/>
              </w:rPr>
              <w:t>CONSTANCIA  DE  VERIFICACIÓN   PRESUPUESTAL</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jc w:val="cente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w:drawing>
                <wp:anchor distT="0" distB="0" distL="114300" distR="114300" simplePos="0" relativeHeight="251661312" behindDoc="0" locked="0" layoutInCell="1" allowOverlap="1" wp14:anchorId="43D25288" wp14:editId="76B4F881">
                  <wp:simplePos x="0" y="0"/>
                  <wp:positionH relativeFrom="column">
                    <wp:posOffset>228600</wp:posOffset>
                  </wp:positionH>
                  <wp:positionV relativeFrom="paragraph">
                    <wp:posOffset>38100</wp:posOffset>
                  </wp:positionV>
                  <wp:extent cx="114300" cy="114300"/>
                  <wp:effectExtent l="0" t="0" r="0" b="0"/>
                  <wp:wrapNone/>
                  <wp:docPr id="125260" name="Imagen 125260" descr="BD15056_"/>
                  <wp:cNvGraphicFramePr/>
                  <a:graphic xmlns:a="http://schemas.openxmlformats.org/drawingml/2006/main">
                    <a:graphicData uri="http://schemas.openxmlformats.org/drawingml/2006/picture">
                      <pic:pic xmlns:pic="http://schemas.openxmlformats.org/drawingml/2006/picture">
                        <pic:nvPicPr>
                          <pic:cNvPr id="125260" name="Picture 55"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CONSTANCIA NUM.</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sz w:val="20"/>
                <w:szCs w:val="20"/>
                <w:lang w:eastAsia="es-MX"/>
              </w:rPr>
            </w:pPr>
            <w:r>
              <w:rPr>
                <w:rFonts w:ascii="Tahoma" w:eastAsia="Times New Roman" w:hAnsi="Tahoma" w:cs="Tahoma"/>
                <w:b/>
                <w:bCs/>
                <w:color w:val="002060"/>
                <w:sz w:val="20"/>
                <w:szCs w:val="20"/>
                <w:lang w:eastAsia="es-MX"/>
              </w:rPr>
              <w:t>120</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w:drawing>
                <wp:anchor distT="0" distB="0" distL="114300" distR="114300" simplePos="0" relativeHeight="251662336" behindDoc="0" locked="0" layoutInCell="1" allowOverlap="1" wp14:anchorId="17AE698C" wp14:editId="1913DCEE">
                  <wp:simplePos x="0" y="0"/>
                  <wp:positionH relativeFrom="column">
                    <wp:posOffset>228600</wp:posOffset>
                  </wp:positionH>
                  <wp:positionV relativeFrom="paragraph">
                    <wp:posOffset>38100</wp:posOffset>
                  </wp:positionV>
                  <wp:extent cx="114300" cy="114300"/>
                  <wp:effectExtent l="0" t="0" r="0" b="0"/>
                  <wp:wrapNone/>
                  <wp:docPr id="125261" name="Imagen 125261" descr="BD15056_"/>
                  <wp:cNvGraphicFramePr/>
                  <a:graphic xmlns:a="http://schemas.openxmlformats.org/drawingml/2006/main">
                    <a:graphicData uri="http://schemas.openxmlformats.org/drawingml/2006/picture">
                      <pic:pic xmlns:pic="http://schemas.openxmlformats.org/drawingml/2006/picture">
                        <pic:nvPicPr>
                          <pic:cNvPr id="125261" name="Picture 56"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SUBPROGRAMA/PROYECTO</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sz w:val="20"/>
                <w:szCs w:val="20"/>
                <w:lang w:eastAsia="es-MX"/>
              </w:rPr>
            </w:pPr>
            <w:r>
              <w:rPr>
                <w:rFonts w:ascii="Tahoma" w:eastAsia="Times New Roman" w:hAnsi="Tahoma" w:cs="Tahoma"/>
                <w:b/>
                <w:bCs/>
                <w:color w:val="002060"/>
                <w:sz w:val="20"/>
                <w:szCs w:val="20"/>
                <w:lang w:eastAsia="es-MX"/>
              </w:rPr>
              <w:t>01.EQB00.130500.56318</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770DC1"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w:drawing>
                <wp:anchor distT="0" distB="0" distL="114300" distR="114300" simplePos="0" relativeHeight="251663360" behindDoc="0" locked="0" layoutInCell="1" allowOverlap="1" wp14:anchorId="2A0F4B5D" wp14:editId="27CAEB67">
                  <wp:simplePos x="0" y="0"/>
                  <wp:positionH relativeFrom="column">
                    <wp:posOffset>228600</wp:posOffset>
                  </wp:positionH>
                  <wp:positionV relativeFrom="paragraph">
                    <wp:posOffset>38100</wp:posOffset>
                  </wp:positionV>
                  <wp:extent cx="114300" cy="114300"/>
                  <wp:effectExtent l="0" t="0" r="0" b="0"/>
                  <wp:wrapNone/>
                  <wp:docPr id="125262" name="Imagen 125262" descr="BD15056_"/>
                  <wp:cNvGraphicFramePr/>
                  <a:graphic xmlns:a="http://schemas.openxmlformats.org/drawingml/2006/main">
                    <a:graphicData uri="http://schemas.openxmlformats.org/drawingml/2006/picture">
                      <pic:pic xmlns:pic="http://schemas.openxmlformats.org/drawingml/2006/picture">
                        <pic:nvPicPr>
                          <pic:cNvPr id="125262" name="Picture 57"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OBJETO DEL GASTO</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770DC1" w:rsidRDefault="00770DC1" w:rsidP="0013392D">
            <w:pPr>
              <w:jc w:val="center"/>
              <w:rPr>
                <w:rFonts w:ascii="Tahoma" w:eastAsia="Times New Roman" w:hAnsi="Tahoma" w:cs="Tahoma"/>
                <w:b/>
                <w:bCs/>
                <w:color w:val="002060"/>
                <w:sz w:val="16"/>
                <w:szCs w:val="16"/>
                <w:lang w:val="es-ES" w:eastAsia="es-MX"/>
              </w:rPr>
            </w:pPr>
            <w:r w:rsidRPr="00770DC1">
              <w:rPr>
                <w:rFonts w:ascii="Tahoma" w:eastAsia="Times New Roman" w:hAnsi="Tahoma" w:cs="Tahoma"/>
                <w:b/>
                <w:bCs/>
                <w:color w:val="002060"/>
                <w:sz w:val="16"/>
                <w:szCs w:val="16"/>
                <w:lang w:val="es-ES" w:eastAsia="es-MX"/>
              </w:rPr>
              <w:t>REFACCIONES Y ACCESORIOS PARA EQUIPO DE ALUMBRADO Y SEÑALAMIENTO</w:t>
            </w: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330"/>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2639D8">
              <w:rPr>
                <w:rFonts w:ascii="Tahoma" w:eastAsia="Times New Roman" w:hAnsi="Tahoma" w:cs="Tahoma"/>
                <w:noProof/>
                <w:color w:val="000000"/>
                <w:sz w:val="20"/>
                <w:szCs w:val="20"/>
              </w:rPr>
              <w:drawing>
                <wp:anchor distT="0" distB="0" distL="114300" distR="114300" simplePos="0" relativeHeight="251664384" behindDoc="0" locked="0" layoutInCell="1" allowOverlap="1" wp14:anchorId="2EB5A63C" wp14:editId="09B72125">
                  <wp:simplePos x="0" y="0"/>
                  <wp:positionH relativeFrom="column">
                    <wp:posOffset>228600</wp:posOffset>
                  </wp:positionH>
                  <wp:positionV relativeFrom="paragraph">
                    <wp:posOffset>38100</wp:posOffset>
                  </wp:positionV>
                  <wp:extent cx="114300" cy="114300"/>
                  <wp:effectExtent l="0" t="0" r="0" b="0"/>
                  <wp:wrapNone/>
                  <wp:docPr id="125263" name="Imagen 125263" descr="BD15056_"/>
                  <wp:cNvGraphicFramePr/>
                  <a:graphic xmlns:a="http://schemas.openxmlformats.org/drawingml/2006/main">
                    <a:graphicData uri="http://schemas.openxmlformats.org/drawingml/2006/picture">
                      <pic:pic xmlns:pic="http://schemas.openxmlformats.org/drawingml/2006/picture">
                        <pic:nvPicPr>
                          <pic:cNvPr id="125263" name="Picture 58"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NOMBRE DEL PROYECTO / PG</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center"/>
            <w:hideMark/>
          </w:tcPr>
          <w:p w:rsidR="00770DC1" w:rsidRPr="00770DC1" w:rsidRDefault="00770DC1" w:rsidP="0013392D">
            <w:pPr>
              <w:jc w:val="center"/>
              <w:rPr>
                <w:rFonts w:ascii="Tahoma" w:eastAsia="Times New Roman" w:hAnsi="Tahoma" w:cs="Tahoma"/>
                <w:b/>
                <w:bCs/>
                <w:color w:val="002060"/>
                <w:sz w:val="18"/>
                <w:szCs w:val="18"/>
                <w:lang w:val="es-ES" w:eastAsia="es-MX"/>
              </w:rPr>
            </w:pPr>
            <w:r w:rsidRPr="00770DC1">
              <w:rPr>
                <w:rFonts w:ascii="Tahoma" w:eastAsia="Times New Roman" w:hAnsi="Tahoma" w:cs="Tahoma"/>
                <w:b/>
                <w:bCs/>
                <w:color w:val="002060"/>
                <w:sz w:val="18"/>
                <w:szCs w:val="18"/>
                <w:lang w:val="es-ES" w:eastAsia="es-MX"/>
              </w:rPr>
              <w:t>GASTO CORRIENTE / MATERIALES Y SUMINISTROS</w:t>
            </w: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2639D8">
              <w:rPr>
                <w:rFonts w:ascii="Tahoma" w:eastAsia="Times New Roman" w:hAnsi="Tahoma" w:cs="Tahoma"/>
                <w:noProof/>
                <w:color w:val="000000"/>
                <w:sz w:val="20"/>
                <w:szCs w:val="20"/>
              </w:rPr>
              <w:drawing>
                <wp:anchor distT="0" distB="0" distL="114300" distR="114300" simplePos="0" relativeHeight="251665408" behindDoc="0" locked="0" layoutInCell="1" allowOverlap="1" wp14:anchorId="517F37A5" wp14:editId="18869F6B">
                  <wp:simplePos x="0" y="0"/>
                  <wp:positionH relativeFrom="column">
                    <wp:posOffset>228600</wp:posOffset>
                  </wp:positionH>
                  <wp:positionV relativeFrom="paragraph">
                    <wp:posOffset>38100</wp:posOffset>
                  </wp:positionV>
                  <wp:extent cx="114300" cy="114300"/>
                  <wp:effectExtent l="0" t="0" r="0" b="0"/>
                  <wp:wrapNone/>
                  <wp:docPr id="125264" name="Imagen 125264" descr="BD15056_"/>
                  <wp:cNvGraphicFramePr/>
                  <a:graphic xmlns:a="http://schemas.openxmlformats.org/drawingml/2006/main">
                    <a:graphicData uri="http://schemas.openxmlformats.org/drawingml/2006/picture">
                      <pic:pic xmlns:pic="http://schemas.openxmlformats.org/drawingml/2006/picture">
                        <pic:nvPicPr>
                          <pic:cNvPr id="125264" name="Picture 59"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DEPENDENCIA SOLICITANTE</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770DC1" w:rsidRDefault="00770DC1" w:rsidP="0013392D">
            <w:pPr>
              <w:jc w:val="center"/>
              <w:rPr>
                <w:rFonts w:ascii="Tahoma" w:eastAsia="Times New Roman" w:hAnsi="Tahoma" w:cs="Tahoma"/>
                <w:b/>
                <w:bCs/>
                <w:color w:val="002060"/>
                <w:sz w:val="20"/>
                <w:szCs w:val="20"/>
                <w:lang w:val="es-ES" w:eastAsia="es-MX"/>
              </w:rPr>
            </w:pPr>
            <w:r w:rsidRPr="00770DC1">
              <w:rPr>
                <w:rFonts w:ascii="Tahoma" w:eastAsia="Times New Roman" w:hAnsi="Tahoma" w:cs="Tahoma"/>
                <w:b/>
                <w:bCs/>
                <w:color w:val="002060"/>
                <w:sz w:val="20"/>
                <w:szCs w:val="20"/>
                <w:lang w:val="es-ES" w:eastAsia="es-MX"/>
              </w:rPr>
              <w:t>DIRECCION GENERAL DE SERVICIOS PUBLICOS</w:t>
            </w: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2639D8">
              <w:rPr>
                <w:rFonts w:ascii="Tahoma" w:eastAsia="Times New Roman" w:hAnsi="Tahoma" w:cs="Tahoma"/>
                <w:noProof/>
                <w:color w:val="000000"/>
                <w:sz w:val="20"/>
                <w:szCs w:val="20"/>
              </w:rPr>
              <w:drawing>
                <wp:anchor distT="0" distB="0" distL="114300" distR="114300" simplePos="0" relativeHeight="251666432" behindDoc="0" locked="0" layoutInCell="1" allowOverlap="1" wp14:anchorId="7F9E839D" wp14:editId="7F2C23A1">
                  <wp:simplePos x="0" y="0"/>
                  <wp:positionH relativeFrom="column">
                    <wp:posOffset>228600</wp:posOffset>
                  </wp:positionH>
                  <wp:positionV relativeFrom="paragraph">
                    <wp:posOffset>38100</wp:posOffset>
                  </wp:positionV>
                  <wp:extent cx="114300" cy="114300"/>
                  <wp:effectExtent l="0" t="0" r="0" b="0"/>
                  <wp:wrapNone/>
                  <wp:docPr id="125265" name="Imagen 125265" descr="BD15056_"/>
                  <wp:cNvGraphicFramePr/>
                  <a:graphic xmlns:a="http://schemas.openxmlformats.org/drawingml/2006/main">
                    <a:graphicData uri="http://schemas.openxmlformats.org/drawingml/2006/picture">
                      <pic:pic xmlns:pic="http://schemas.openxmlformats.org/drawingml/2006/picture">
                        <pic:nvPicPr>
                          <pic:cNvPr id="125265" name="Picture 60"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DIRECCIÓN DE ÁREA</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sz w:val="20"/>
                <w:szCs w:val="20"/>
                <w:lang w:eastAsia="es-MX"/>
              </w:rPr>
            </w:pPr>
            <w:r>
              <w:rPr>
                <w:rFonts w:ascii="Tahoma" w:eastAsia="Times New Roman" w:hAnsi="Tahoma" w:cs="Tahoma"/>
                <w:b/>
                <w:bCs/>
                <w:color w:val="002060"/>
                <w:sz w:val="20"/>
                <w:szCs w:val="20"/>
                <w:lang w:eastAsia="es-MX"/>
              </w:rPr>
              <w:t>DIRECCION DE ALUMBRADO</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w:drawing>
                <wp:anchor distT="0" distB="0" distL="114300" distR="114300" simplePos="0" relativeHeight="251667456" behindDoc="0" locked="0" layoutInCell="1" allowOverlap="1" wp14:anchorId="5B5FD298" wp14:editId="061EFBD8">
                  <wp:simplePos x="0" y="0"/>
                  <wp:positionH relativeFrom="column">
                    <wp:posOffset>228600</wp:posOffset>
                  </wp:positionH>
                  <wp:positionV relativeFrom="paragraph">
                    <wp:posOffset>38100</wp:posOffset>
                  </wp:positionV>
                  <wp:extent cx="114300" cy="114300"/>
                  <wp:effectExtent l="0" t="0" r="0" b="0"/>
                  <wp:wrapNone/>
                  <wp:docPr id="125266" name="Imagen 125266" descr="BD15056_"/>
                  <wp:cNvGraphicFramePr/>
                  <a:graphic xmlns:a="http://schemas.openxmlformats.org/drawingml/2006/main">
                    <a:graphicData uri="http://schemas.openxmlformats.org/drawingml/2006/picture">
                      <pic:pic xmlns:pic="http://schemas.openxmlformats.org/drawingml/2006/picture">
                        <pic:nvPicPr>
                          <pic:cNvPr id="125266" name="Picture 61"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PRESUPUESTO DISPONIBLE</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sz w:val="20"/>
                <w:szCs w:val="20"/>
                <w:lang w:eastAsia="es-MX"/>
              </w:rPr>
            </w:pPr>
            <w:r>
              <w:rPr>
                <w:rFonts w:ascii="Tahoma" w:eastAsia="Times New Roman" w:hAnsi="Tahoma" w:cs="Tahoma"/>
                <w:b/>
                <w:bCs/>
                <w:color w:val="002060"/>
                <w:sz w:val="20"/>
                <w:szCs w:val="20"/>
                <w:lang w:eastAsia="es-MX"/>
              </w:rPr>
              <w:t>1,200,000.00</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w:drawing>
                <wp:anchor distT="0" distB="0" distL="114300" distR="114300" simplePos="0" relativeHeight="251668480" behindDoc="0" locked="0" layoutInCell="1" allowOverlap="1" wp14:anchorId="6DB05326" wp14:editId="2072D629">
                  <wp:simplePos x="0" y="0"/>
                  <wp:positionH relativeFrom="column">
                    <wp:posOffset>228600</wp:posOffset>
                  </wp:positionH>
                  <wp:positionV relativeFrom="paragraph">
                    <wp:posOffset>38100</wp:posOffset>
                  </wp:positionV>
                  <wp:extent cx="114300" cy="114300"/>
                  <wp:effectExtent l="0" t="0" r="0" b="0"/>
                  <wp:wrapNone/>
                  <wp:docPr id="125267" name="Imagen 125267" descr="BD15056_"/>
                  <wp:cNvGraphicFramePr/>
                  <a:graphic xmlns:a="http://schemas.openxmlformats.org/drawingml/2006/main">
                    <a:graphicData uri="http://schemas.openxmlformats.org/drawingml/2006/picture">
                      <pic:pic xmlns:pic="http://schemas.openxmlformats.org/drawingml/2006/picture">
                        <pic:nvPicPr>
                          <pic:cNvPr id="125267" name="Picture 62" descr="BD15056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MONTO CON LETRA</w:t>
            </w:r>
          </w:p>
        </w:tc>
        <w:tc>
          <w:tcPr>
            <w:tcW w:w="5764" w:type="dxa"/>
            <w:vMerge w:val="restart"/>
            <w:tcBorders>
              <w:top w:val="double" w:sz="6" w:space="0" w:color="auto"/>
              <w:left w:val="double" w:sz="6" w:space="0" w:color="auto"/>
              <w:bottom w:val="double" w:sz="6" w:space="0" w:color="000000"/>
              <w:right w:val="double" w:sz="6" w:space="0" w:color="auto"/>
            </w:tcBorders>
            <w:shd w:val="clear" w:color="000000" w:fill="B8CCE4"/>
            <w:vAlign w:val="center"/>
            <w:hideMark/>
          </w:tcPr>
          <w:p w:rsidR="00770DC1" w:rsidRPr="002639D8" w:rsidRDefault="00770DC1" w:rsidP="0013392D">
            <w:pPr>
              <w:jc w:val="center"/>
              <w:rPr>
                <w:rFonts w:ascii="Tahoma" w:eastAsia="Times New Roman" w:hAnsi="Tahoma" w:cs="Tahoma"/>
                <w:b/>
                <w:bCs/>
                <w:color w:val="002060"/>
                <w:sz w:val="20"/>
                <w:szCs w:val="20"/>
                <w:lang w:eastAsia="es-MX"/>
              </w:rPr>
            </w:pPr>
            <w:r w:rsidRPr="002639D8">
              <w:rPr>
                <w:rFonts w:ascii="Tahoma" w:eastAsia="Times New Roman" w:hAnsi="Tahoma" w:cs="Tahoma"/>
                <w:b/>
                <w:bCs/>
                <w:color w:val="002060"/>
                <w:sz w:val="20"/>
                <w:szCs w:val="20"/>
                <w:lang w:eastAsia="es-MX"/>
              </w:rPr>
              <w:t>0</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vMerge/>
            <w:tcBorders>
              <w:top w:val="double" w:sz="6" w:space="0" w:color="auto"/>
              <w:left w:val="double" w:sz="6" w:space="0" w:color="auto"/>
              <w:bottom w:val="double" w:sz="6" w:space="0" w:color="000000"/>
              <w:right w:val="double" w:sz="6" w:space="0" w:color="auto"/>
            </w:tcBorders>
            <w:vAlign w:val="center"/>
            <w:hideMark/>
          </w:tcPr>
          <w:p w:rsidR="00770DC1" w:rsidRPr="002639D8" w:rsidRDefault="00770DC1" w:rsidP="0013392D">
            <w:pPr>
              <w:rPr>
                <w:rFonts w:ascii="Tahoma" w:eastAsia="Times New Roman" w:hAnsi="Tahoma" w:cs="Tahoma"/>
                <w:b/>
                <w:bCs/>
                <w:color w:val="00206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vMerge/>
            <w:tcBorders>
              <w:top w:val="double" w:sz="6" w:space="0" w:color="auto"/>
              <w:left w:val="double" w:sz="6" w:space="0" w:color="auto"/>
              <w:bottom w:val="double" w:sz="6" w:space="0" w:color="000000"/>
              <w:right w:val="double" w:sz="6" w:space="0" w:color="auto"/>
            </w:tcBorders>
            <w:vAlign w:val="center"/>
            <w:hideMark/>
          </w:tcPr>
          <w:p w:rsidR="00770DC1" w:rsidRPr="002639D8" w:rsidRDefault="00770DC1" w:rsidP="0013392D">
            <w:pPr>
              <w:rPr>
                <w:rFonts w:ascii="Tahoma" w:eastAsia="Times New Roman" w:hAnsi="Tahoma" w:cs="Tahoma"/>
                <w:b/>
                <w:bCs/>
                <w:color w:val="00206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vMerge/>
            <w:tcBorders>
              <w:top w:val="double" w:sz="6" w:space="0" w:color="auto"/>
              <w:left w:val="double" w:sz="6" w:space="0" w:color="auto"/>
              <w:bottom w:val="double" w:sz="6" w:space="0" w:color="000000"/>
              <w:right w:val="double" w:sz="6" w:space="0" w:color="auto"/>
            </w:tcBorders>
            <w:vAlign w:val="center"/>
            <w:hideMark/>
          </w:tcPr>
          <w:p w:rsidR="00770DC1" w:rsidRPr="002639D8" w:rsidRDefault="00770DC1" w:rsidP="0013392D">
            <w:pPr>
              <w:rPr>
                <w:rFonts w:ascii="Tahoma" w:eastAsia="Times New Roman" w:hAnsi="Tahoma" w:cs="Tahoma"/>
                <w:b/>
                <w:bCs/>
                <w:color w:val="00206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 FECHA DE VALIDACIÓN</w:t>
            </w:r>
          </w:p>
        </w:tc>
        <w:tc>
          <w:tcPr>
            <w:tcW w:w="5764" w:type="dxa"/>
            <w:tcBorders>
              <w:top w:val="double" w:sz="6" w:space="0" w:color="auto"/>
              <w:left w:val="double" w:sz="6" w:space="0" w:color="auto"/>
              <w:bottom w:val="double" w:sz="6" w:space="0" w:color="auto"/>
              <w:right w:val="double" w:sz="6" w:space="0" w:color="auto"/>
            </w:tcBorders>
            <w:shd w:val="clear" w:color="000000" w:fill="B8CCE4"/>
            <w:noWrap/>
            <w:vAlign w:val="bottom"/>
            <w:hideMark/>
          </w:tcPr>
          <w:p w:rsidR="00770DC1" w:rsidRPr="002639D8" w:rsidRDefault="00770DC1" w:rsidP="0013392D">
            <w:pPr>
              <w:jc w:val="center"/>
              <w:rPr>
                <w:rFonts w:ascii="Tahoma" w:eastAsia="Times New Roman" w:hAnsi="Tahoma" w:cs="Tahoma"/>
                <w:b/>
                <w:bCs/>
                <w:color w:val="002060"/>
                <w:sz w:val="20"/>
                <w:szCs w:val="20"/>
                <w:lang w:eastAsia="es-MX"/>
              </w:rPr>
            </w:pPr>
            <w:r>
              <w:rPr>
                <w:rFonts w:ascii="Tahoma" w:eastAsia="Times New Roman" w:hAnsi="Tahoma" w:cs="Tahoma"/>
                <w:b/>
                <w:bCs/>
                <w:color w:val="002060"/>
                <w:sz w:val="20"/>
                <w:szCs w:val="20"/>
                <w:lang w:eastAsia="es-MX"/>
              </w:rPr>
              <w:t>01 DE ABRIL DEL 2019</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OBSERVACIONES</w:t>
            </w: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val="restart"/>
            <w:tcBorders>
              <w:top w:val="double" w:sz="6" w:space="0" w:color="auto"/>
              <w:left w:val="double" w:sz="6" w:space="0" w:color="auto"/>
              <w:bottom w:val="double" w:sz="6" w:space="0" w:color="000000"/>
              <w:right w:val="double" w:sz="6" w:space="0" w:color="000000"/>
            </w:tcBorders>
            <w:shd w:val="clear" w:color="auto" w:fill="auto"/>
            <w:hideMark/>
          </w:tcPr>
          <w:p w:rsidR="00770DC1" w:rsidRPr="002639D8" w:rsidRDefault="00770DC1" w:rsidP="0013392D">
            <w:pPr>
              <w:jc w:val="both"/>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0</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tcBorders>
              <w:top w:val="nil"/>
              <w:left w:val="double" w:sz="6" w:space="0" w:color="auto"/>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tcBorders>
              <w:top w:val="nil"/>
              <w:left w:val="double" w:sz="6" w:space="0" w:color="auto"/>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tcBorders>
              <w:top w:val="nil"/>
              <w:left w:val="double" w:sz="6" w:space="0" w:color="auto"/>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tcBorders>
              <w:top w:val="nil"/>
              <w:left w:val="double" w:sz="6" w:space="0" w:color="auto"/>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vMerge/>
            <w:tcBorders>
              <w:top w:val="nil"/>
              <w:left w:val="double" w:sz="6" w:space="0" w:color="auto"/>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70"/>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770DC1"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16"/>
                <w:szCs w:val="16"/>
                <w:u w:val="single"/>
                <w:lang w:val="es-ES" w:eastAsia="es-MX"/>
              </w:rPr>
            </w:pPr>
            <w:r w:rsidRPr="00770DC1">
              <w:rPr>
                <w:rFonts w:ascii="Tahoma" w:eastAsia="Times New Roman" w:hAnsi="Tahoma" w:cs="Tahoma"/>
                <w:color w:val="000000"/>
                <w:sz w:val="16"/>
                <w:szCs w:val="16"/>
                <w:u w:val="single"/>
                <w:lang w:val="es-ES" w:eastAsia="es-MX"/>
              </w:rPr>
              <w:t>Elaboro : Jorge Humberto Tejeda Sáenz.</w:t>
            </w:r>
          </w:p>
        </w:tc>
        <w:tc>
          <w:tcPr>
            <w:tcW w:w="5764" w:type="dxa"/>
            <w:tcBorders>
              <w:top w:val="nil"/>
              <w:left w:val="nil"/>
              <w:bottom w:val="nil"/>
              <w:right w:val="nil"/>
            </w:tcBorders>
            <w:shd w:val="clear" w:color="auto" w:fill="auto"/>
            <w:noWrap/>
            <w:vAlign w:val="bottom"/>
            <w:hideMark/>
          </w:tcPr>
          <w:p w:rsidR="00770DC1" w:rsidRPr="00770DC1" w:rsidRDefault="00770DC1" w:rsidP="0013392D">
            <w:pPr>
              <w:jc w:val="center"/>
              <w:rPr>
                <w:rFonts w:ascii="Tahoma" w:eastAsia="Times New Roman" w:hAnsi="Tahoma" w:cs="Tahoma"/>
                <w:color w:val="000000"/>
                <w:sz w:val="16"/>
                <w:szCs w:val="16"/>
                <w:u w:val="single"/>
                <w:lang w:val="es-ES" w:eastAsia="es-MX"/>
              </w:rPr>
            </w:pPr>
            <w:r w:rsidRPr="00770DC1">
              <w:rPr>
                <w:rFonts w:ascii="Tahoma" w:eastAsia="Times New Roman" w:hAnsi="Tahoma" w:cs="Tahoma"/>
                <w:color w:val="000000"/>
                <w:sz w:val="16"/>
                <w:szCs w:val="16"/>
                <w:u w:val="single"/>
                <w:lang w:val="es-ES" w:eastAsia="es-MX"/>
              </w:rPr>
              <w:t>Vo.Bo.   L.C. Elsa Margarita Edwards Villalobos.</w:t>
            </w: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lastRenderedPageBreak/>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sz w:val="16"/>
                <w:szCs w:val="16"/>
                <w:lang w:eastAsia="es-MX"/>
              </w:rPr>
            </w:pPr>
            <w:r w:rsidRPr="002639D8">
              <w:rPr>
                <w:rFonts w:ascii="Tahoma" w:eastAsia="Times New Roman" w:hAnsi="Tahoma" w:cs="Tahoma"/>
                <w:b/>
                <w:bCs/>
                <w:sz w:val="16"/>
                <w:szCs w:val="16"/>
                <w:lang w:eastAsia="es-MX"/>
              </w:rPr>
              <w:t>DEPARTAMENTO DE PRESUPUESTO</w:t>
            </w:r>
          </w:p>
        </w:tc>
        <w:tc>
          <w:tcPr>
            <w:tcW w:w="5764"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color w:val="000000"/>
                <w:sz w:val="16"/>
                <w:szCs w:val="16"/>
                <w:lang w:eastAsia="es-MX"/>
              </w:rPr>
            </w:pPr>
            <w:r w:rsidRPr="002639D8">
              <w:rPr>
                <w:rFonts w:ascii="Tahoma" w:eastAsia="Times New Roman" w:hAnsi="Tahoma" w:cs="Tahoma"/>
                <w:b/>
                <w:bCs/>
                <w:color w:val="000000"/>
                <w:sz w:val="16"/>
                <w:szCs w:val="16"/>
                <w:lang w:eastAsia="es-MX"/>
              </w:rPr>
              <w:t>DIRECTORA DE CONTABILIDAD.</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vAlign w:val="center"/>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sz w:val="16"/>
                <w:szCs w:val="16"/>
                <w:lang w:eastAsia="es-MX"/>
              </w:rPr>
            </w:pPr>
            <w:r w:rsidRPr="002639D8">
              <w:rPr>
                <w:rFonts w:ascii="Tahoma" w:eastAsia="Times New Roman" w:hAnsi="Tahoma" w:cs="Tahoma"/>
                <w:b/>
                <w:bCs/>
                <w:sz w:val="16"/>
                <w:szCs w:val="16"/>
                <w:lang w:eastAsia="es-MX"/>
              </w:rPr>
              <w:t>DIRECCIÓN DE CONTABILIDAD</w:t>
            </w:r>
          </w:p>
        </w:tc>
        <w:tc>
          <w:tcPr>
            <w:tcW w:w="5764"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sz w:val="16"/>
                <w:szCs w:val="16"/>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vMerge w:val="restart"/>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noProof/>
                <w:color w:val="000000"/>
                <w:sz w:val="20"/>
                <w:szCs w:val="20"/>
              </w:rPr>
              <mc:AlternateContent>
                <mc:Choice Requires="wps">
                  <w:drawing>
                    <wp:anchor distT="0" distB="0" distL="114300" distR="114300" simplePos="0" relativeHeight="251660288" behindDoc="0" locked="0" layoutInCell="1" allowOverlap="1" wp14:anchorId="708EB863" wp14:editId="2E449179">
                      <wp:simplePos x="0" y="0"/>
                      <wp:positionH relativeFrom="column">
                        <wp:posOffset>466725</wp:posOffset>
                      </wp:positionH>
                      <wp:positionV relativeFrom="paragraph">
                        <wp:posOffset>57150</wp:posOffset>
                      </wp:positionV>
                      <wp:extent cx="685800" cy="628650"/>
                      <wp:effectExtent l="0" t="0" r="19050" b="19050"/>
                      <wp:wrapNone/>
                      <wp:docPr id="82962" name="Elipse 82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28650"/>
                              </a:xfrm>
                              <a:prstGeom prst="ellipse">
                                <a:avLst/>
                              </a:prstGeom>
                              <a:solidFill>
                                <a:srgbClr val="FFFFFF"/>
                              </a:solidFill>
                              <a:ln w="3175">
                                <a:solidFill>
                                  <a:srgbClr val="C0C0C0"/>
                                </a:solidFill>
                                <a:round/>
                                <a:headEnd/>
                                <a:tailEnd/>
                              </a:ln>
                            </wps:spPr>
                            <wps:txbx>
                              <w:txbxContent>
                                <w:p w:rsidR="00770DC1" w:rsidRDefault="00770DC1" w:rsidP="00770DC1">
                                  <w:pPr>
                                    <w:pStyle w:val="NormalWeb"/>
                                    <w:spacing w:before="0" w:beforeAutospacing="0" w:after="0" w:afterAutospacing="0"/>
                                    <w:jc w:val="center"/>
                                  </w:pPr>
                                  <w:r>
                                    <w:rPr>
                                      <w:rFonts w:ascii="Arial" w:hAnsi="Arial" w:cs="Arial"/>
                                      <w:color w:val="C0C0C0"/>
                                      <w:sz w:val="16"/>
                                      <w:szCs w:val="16"/>
                                      <w:lang w:val="en-US"/>
                                    </w:rPr>
                                    <w:t xml:space="preserve">     SELLO</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oval w14:anchorId="708EB863" id="Elipse 82962" o:spid="_x0000_s1028" style="position:absolute;margin-left:36.75pt;margin-top:4.5pt;width:54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" strokecolor="silver" strokeweight=".25pt">
                      <v:textbox inset="2.16pt,1.8pt,2.16pt,0">
                        <w:txbxContent>
                          <w:p w:rsidR="00770DC1" w:rsidRDefault="00770DC1" w:rsidP="00770DC1">
                            <w:pPr>
                              <w:pStyle w:val="NormalWeb"/>
                              <w:spacing w:before="0" w:beforeAutospacing="0" w:after="0" w:afterAutospacing="0"/>
                              <w:jc w:val="center"/>
                            </w:pPr>
                            <w:r>
                              <w:rPr>
                                <w:rFonts w:ascii="Arial" w:hAnsi="Arial" w:cs="Arial"/>
                                <w:color w:val="C0C0C0"/>
                                <w:sz w:val="16"/>
                                <w:szCs w:val="16"/>
                                <w:lang w:val="en-US"/>
                              </w:rPr>
                              <w:t xml:space="preserve">     SELLO</w:t>
                            </w:r>
                          </w:p>
                        </w:txbxContent>
                      </v:textbox>
                    </v:oval>
                  </w:pict>
                </mc:Fallback>
              </mc:AlternateContent>
            </w: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vMerge/>
            <w:tcBorders>
              <w:top w:val="nil"/>
              <w:left w:val="nil"/>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vMerge/>
            <w:tcBorders>
              <w:top w:val="nil"/>
              <w:left w:val="nil"/>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vMerge/>
            <w:tcBorders>
              <w:top w:val="nil"/>
              <w:left w:val="nil"/>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jc w:val="cente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vMerge/>
            <w:tcBorders>
              <w:top w:val="nil"/>
              <w:left w:val="nil"/>
              <w:bottom w:val="nil"/>
              <w:right w:val="nil"/>
            </w:tcBorders>
            <w:vAlign w:val="center"/>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single" w:sz="4" w:space="0" w:color="auto"/>
              <w:right w:val="nil"/>
            </w:tcBorders>
            <w:shd w:val="clear" w:color="auto" w:fill="auto"/>
            <w:noWrap/>
            <w:vAlign w:val="bottom"/>
            <w:hideMark/>
          </w:tcPr>
          <w:p w:rsidR="00770DC1" w:rsidRPr="002639D8" w:rsidRDefault="00770DC1" w:rsidP="0013392D">
            <w:pPr>
              <w:jc w:val="cente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xml:space="preserve">C. Gerardo </w:t>
            </w:r>
            <w:proofErr w:type="spellStart"/>
            <w:r w:rsidRPr="002639D8">
              <w:rPr>
                <w:rFonts w:ascii="Tahoma" w:eastAsia="Times New Roman" w:hAnsi="Tahoma" w:cs="Tahoma"/>
                <w:color w:val="000000"/>
                <w:sz w:val="20"/>
                <w:szCs w:val="20"/>
                <w:lang w:eastAsia="es-MX"/>
              </w:rPr>
              <w:t>Ronquillo</w:t>
            </w:r>
            <w:proofErr w:type="spellEnd"/>
            <w:r w:rsidRPr="002639D8">
              <w:rPr>
                <w:rFonts w:ascii="Tahoma" w:eastAsia="Times New Roman" w:hAnsi="Tahoma" w:cs="Tahoma"/>
                <w:color w:val="000000"/>
                <w:sz w:val="20"/>
                <w:szCs w:val="20"/>
                <w:lang w:eastAsia="es-MX"/>
              </w:rPr>
              <w:t xml:space="preserve"> Chávez.</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jc w:val="center"/>
              <w:rPr>
                <w:rFonts w:ascii="Tahoma" w:eastAsia="Times New Roman" w:hAnsi="Tahoma" w:cs="Tahoma"/>
                <w:b/>
                <w:bCs/>
                <w:color w:val="000000"/>
                <w:sz w:val="20"/>
                <w:szCs w:val="20"/>
                <w:lang w:eastAsia="es-MX"/>
              </w:rPr>
            </w:pPr>
            <w:r w:rsidRPr="002639D8">
              <w:rPr>
                <w:rFonts w:ascii="Tahoma" w:eastAsia="Times New Roman" w:hAnsi="Tahoma" w:cs="Tahoma"/>
                <w:b/>
                <w:bCs/>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5764" w:type="dxa"/>
            <w:tcBorders>
              <w:top w:val="nil"/>
              <w:left w:val="nil"/>
              <w:bottom w:val="nil"/>
              <w:right w:val="nil"/>
            </w:tcBorders>
            <w:shd w:val="clear" w:color="auto" w:fill="auto"/>
            <w:noWrap/>
            <w:vAlign w:val="bottom"/>
            <w:hideMark/>
          </w:tcPr>
          <w:p w:rsidR="00770DC1" w:rsidRPr="002639D8" w:rsidRDefault="00770DC1" w:rsidP="0013392D">
            <w:pPr>
              <w:jc w:val="center"/>
              <w:rPr>
                <w:rFonts w:ascii="Tahoma" w:eastAsia="Times New Roman" w:hAnsi="Tahoma" w:cs="Tahoma"/>
                <w:b/>
                <w:bCs/>
                <w:sz w:val="20"/>
                <w:szCs w:val="20"/>
                <w:lang w:eastAsia="es-MX"/>
              </w:rPr>
            </w:pPr>
            <w:r w:rsidRPr="002639D8">
              <w:rPr>
                <w:rFonts w:ascii="Tahoma" w:eastAsia="Times New Roman" w:hAnsi="Tahoma" w:cs="Tahoma"/>
                <w:b/>
                <w:bCs/>
                <w:sz w:val="20"/>
                <w:szCs w:val="20"/>
                <w:lang w:eastAsia="es-MX"/>
              </w:rPr>
              <w:t>AUTORIZACION : TESORERO MUNICIPAL.</w:t>
            </w: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2639D8"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51"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b/>
                <w:bCs/>
                <w:color w:val="000000"/>
                <w:sz w:val="16"/>
                <w:szCs w:val="16"/>
                <w:lang w:eastAsia="es-MX"/>
              </w:rPr>
            </w:pPr>
            <w:proofErr w:type="spellStart"/>
            <w:r w:rsidRPr="002639D8">
              <w:rPr>
                <w:rFonts w:ascii="Tahoma" w:eastAsia="Times New Roman" w:hAnsi="Tahoma" w:cs="Tahoma"/>
                <w:b/>
                <w:bCs/>
                <w:color w:val="000000"/>
                <w:sz w:val="16"/>
                <w:szCs w:val="16"/>
                <w:lang w:eastAsia="es-MX"/>
              </w:rPr>
              <w:t>Notas</w:t>
            </w:r>
            <w:proofErr w:type="spellEnd"/>
            <w:r w:rsidRPr="002639D8">
              <w:rPr>
                <w:rFonts w:ascii="Tahoma" w:eastAsia="Times New Roman" w:hAnsi="Tahoma" w:cs="Tahoma"/>
                <w:b/>
                <w:bCs/>
                <w:color w:val="000000"/>
                <w:sz w:val="16"/>
                <w:szCs w:val="16"/>
                <w:lang w:eastAsia="es-MX"/>
              </w:rPr>
              <w:t xml:space="preserve"> :</w:t>
            </w:r>
          </w:p>
        </w:tc>
        <w:tc>
          <w:tcPr>
            <w:tcW w:w="5764" w:type="dxa"/>
            <w:tcBorders>
              <w:top w:val="nil"/>
              <w:left w:val="nil"/>
              <w:bottom w:val="nil"/>
              <w:right w:val="nil"/>
            </w:tcBorders>
            <w:shd w:val="clear" w:color="auto" w:fill="auto"/>
            <w:noWrap/>
            <w:vAlign w:val="bottom"/>
            <w:hideMark/>
          </w:tcPr>
          <w:p w:rsidR="00770DC1" w:rsidRPr="002639D8" w:rsidRDefault="00770DC1" w:rsidP="0013392D">
            <w:pPr>
              <w:rPr>
                <w:rFonts w:ascii="Arial" w:eastAsia="Times New Roman" w:hAnsi="Arial" w:cs="Arial"/>
                <w:sz w:val="20"/>
                <w:szCs w:val="20"/>
                <w:lang w:eastAsia="es-MX"/>
              </w:rPr>
            </w:pPr>
            <w:r w:rsidRPr="002639D8">
              <w:rPr>
                <w:rFonts w:ascii="Arial" w:eastAsia="Times New Roman" w:hAnsi="Arial" w:cs="Arial"/>
                <w:noProof/>
                <w:sz w:val="20"/>
                <w:szCs w:val="20"/>
              </w:rPr>
              <w:drawing>
                <wp:anchor distT="0" distB="0" distL="114300" distR="114300" simplePos="0" relativeHeight="251673600" behindDoc="0" locked="0" layoutInCell="1" allowOverlap="1" wp14:anchorId="178D8AD4" wp14:editId="2C139F83">
                  <wp:simplePos x="0" y="0"/>
                  <wp:positionH relativeFrom="column">
                    <wp:posOffset>66675</wp:posOffset>
                  </wp:positionH>
                  <wp:positionV relativeFrom="paragraph">
                    <wp:posOffset>9525</wp:posOffset>
                  </wp:positionV>
                  <wp:extent cx="333375" cy="400050"/>
                  <wp:effectExtent l="0" t="0" r="9525" b="0"/>
                  <wp:wrapNone/>
                  <wp:docPr id="2" name="Imagen 2">
                    <a:extLst xmlns:a="http://schemas.openxmlformats.org/drawingml/2006/main">
                      <a:ext uri="{63B3BB69-23CF-44E3-9099-C40C66FF867C}">
                        <a14:compatExt xmlns:a14="http://schemas.microsoft.com/office/drawing/2010/main" spid="_x0000_s102989"/>
                      </a:ext>
                    </a:extLst>
                  </wp:docPr>
                  <wp:cNvGraphicFramePr/>
                  <a:graphic xmlns:a="http://schemas.openxmlformats.org/drawingml/2006/main">
                    <a:graphicData uri="http://schemas.openxmlformats.org/drawingml/2006/picture">
                      <pic:pic xmlns:pic="http://schemas.openxmlformats.org/drawingml/2006/picture">
                        <pic:nvPicPr>
                          <pic:cNvPr id="2" name="Object 1613">
                            <a:extLst>
                              <a:ext uri="{63B3BB69-23CF-44E3-9099-C40C66FF867C}">
                                <a14:compatExt xmlns:a14="http://schemas.microsoft.com/office/drawing/2010/main" spid="_x0000_s102989"/>
                              </a:ext>
                            </a:extLst>
                          </pic:cNvPr>
                          <pic:cNvPicPr>
                            <a:picLocks noChangeAspect="1"/>
                          </pic:cNvPicPr>
                        </pic:nvPicPr>
                        <pic:blipFill>
                          <a:blip r:embed="rId12"/>
                          <a:stretch>
                            <a:fillRect/>
                          </a:stretch>
                        </pic:blipFill>
                        <pic:spPr>
                          <a:xfrm>
                            <a:off x="0" y="0"/>
                            <a:ext cx="333375" cy="4000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420"/>
            </w:tblGrid>
            <w:tr w:rsidR="00770DC1" w:rsidRPr="002639D8" w:rsidTr="0013392D">
              <w:trPr>
                <w:trHeight w:val="255"/>
                <w:tblCellSpacing w:w="0" w:type="dxa"/>
              </w:trPr>
              <w:tc>
                <w:tcPr>
                  <w:tcW w:w="5420" w:type="dxa"/>
                  <w:tcBorders>
                    <w:top w:val="nil"/>
                    <w:left w:val="nil"/>
                    <w:bottom w:val="nil"/>
                    <w:right w:val="nil"/>
                  </w:tcBorders>
                  <w:shd w:val="clear" w:color="auto" w:fill="auto"/>
                  <w:noWrap/>
                  <w:vAlign w:val="bottom"/>
                  <w:hideMark/>
                </w:tcPr>
                <w:p w:rsidR="00770DC1" w:rsidRPr="002639D8" w:rsidRDefault="00770DC1" w:rsidP="0013392D">
                  <w:pPr>
                    <w:framePr w:hSpace="141" w:wrap="around" w:hAnchor="page" w:x="1" w:y="-1410"/>
                    <w:jc w:val="center"/>
                    <w:rPr>
                      <w:rFonts w:ascii="Tahoma" w:eastAsia="Times New Roman" w:hAnsi="Tahoma" w:cs="Tahoma"/>
                      <w:b/>
                      <w:bCs/>
                      <w:sz w:val="20"/>
                      <w:szCs w:val="20"/>
                      <w:lang w:eastAsia="es-MX"/>
                    </w:rPr>
                  </w:pPr>
                  <w:r w:rsidRPr="002639D8">
                    <w:rPr>
                      <w:rFonts w:ascii="Tahoma" w:eastAsia="Times New Roman" w:hAnsi="Tahoma" w:cs="Tahoma"/>
                      <w:b/>
                      <w:bCs/>
                      <w:sz w:val="20"/>
                      <w:szCs w:val="20"/>
                      <w:lang w:eastAsia="es-MX"/>
                    </w:rPr>
                    <w:t>TESORERÍA MUNICIPAL</w:t>
                  </w:r>
                </w:p>
              </w:tc>
            </w:tr>
          </w:tbl>
          <w:p w:rsidR="00770DC1" w:rsidRPr="002639D8" w:rsidRDefault="00770DC1" w:rsidP="0013392D">
            <w:pPr>
              <w:rPr>
                <w:rFonts w:ascii="Arial" w:eastAsia="Times New Roman" w:hAnsi="Arial" w:cs="Arial"/>
                <w:sz w:val="20"/>
                <w:szCs w:val="20"/>
                <w:lang w:eastAsia="es-MX"/>
              </w:rPr>
            </w:pPr>
          </w:p>
        </w:tc>
        <w:tc>
          <w:tcPr>
            <w:tcW w:w="311" w:type="dxa"/>
            <w:tcBorders>
              <w:top w:val="nil"/>
              <w:left w:val="nil"/>
              <w:bottom w:val="nil"/>
              <w:right w:val="double" w:sz="6" w:space="0" w:color="auto"/>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30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8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c>
          <w:tcPr>
            <w:tcW w:w="680" w:type="dxa"/>
            <w:tcBorders>
              <w:top w:val="nil"/>
              <w:left w:val="nil"/>
              <w:bottom w:val="nil"/>
              <w:right w:val="nil"/>
            </w:tcBorders>
            <w:shd w:val="clear" w:color="auto" w:fill="auto"/>
            <w:noWrap/>
            <w:vAlign w:val="bottom"/>
            <w:hideMark/>
          </w:tcPr>
          <w:p w:rsidR="00770DC1" w:rsidRPr="002639D8" w:rsidRDefault="00770DC1" w:rsidP="0013392D">
            <w:pPr>
              <w:rPr>
                <w:rFonts w:ascii="Times New Roman" w:eastAsia="Times New Roman" w:hAnsi="Times New Roman" w:cs="Times New Roman"/>
                <w:sz w:val="20"/>
                <w:szCs w:val="20"/>
                <w:lang w:eastAsia="es-MX"/>
              </w:rPr>
            </w:pPr>
          </w:p>
        </w:tc>
      </w:tr>
      <w:tr w:rsidR="00770DC1" w:rsidRPr="00770DC1" w:rsidTr="0013392D">
        <w:trPr>
          <w:trHeight w:val="255"/>
        </w:trPr>
        <w:tc>
          <w:tcPr>
            <w:tcW w:w="300" w:type="dxa"/>
            <w:tcBorders>
              <w:top w:val="nil"/>
              <w:left w:val="single" w:sz="12" w:space="0" w:color="0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311" w:type="dxa"/>
            <w:tcBorders>
              <w:top w:val="nil"/>
              <w:left w:val="double" w:sz="6" w:space="0" w:color="auto"/>
              <w:bottom w:val="nil"/>
              <w:right w:val="nil"/>
            </w:tcBorders>
            <w:shd w:val="clear" w:color="auto" w:fill="auto"/>
            <w:noWrap/>
            <w:vAlign w:val="bottom"/>
            <w:hideMark/>
          </w:tcPr>
          <w:p w:rsidR="00770DC1" w:rsidRPr="002639D8" w:rsidRDefault="00770DC1" w:rsidP="0013392D">
            <w:pPr>
              <w:rPr>
                <w:rFonts w:ascii="Tahoma" w:eastAsia="Times New Roman" w:hAnsi="Tahoma" w:cs="Tahoma"/>
                <w:color w:val="000000"/>
                <w:sz w:val="20"/>
                <w:szCs w:val="20"/>
                <w:lang w:eastAsia="es-MX"/>
              </w:rPr>
            </w:pPr>
            <w:r w:rsidRPr="002639D8">
              <w:rPr>
                <w:rFonts w:ascii="Tahoma" w:eastAsia="Times New Roman" w:hAnsi="Tahoma" w:cs="Tahoma"/>
                <w:color w:val="000000"/>
                <w:sz w:val="20"/>
                <w:szCs w:val="20"/>
                <w:lang w:eastAsia="es-MX"/>
              </w:rPr>
              <w:t> </w:t>
            </w:r>
          </w:p>
        </w:tc>
        <w:tc>
          <w:tcPr>
            <w:tcW w:w="8815" w:type="dxa"/>
            <w:gridSpan w:val="2"/>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14"/>
                <w:szCs w:val="14"/>
                <w:lang w:val="es-ES" w:eastAsia="es-MX"/>
              </w:rPr>
            </w:pPr>
            <w:r w:rsidRPr="00770DC1">
              <w:rPr>
                <w:rFonts w:ascii="Tahoma" w:eastAsia="Times New Roman" w:hAnsi="Tahoma" w:cs="Tahoma"/>
                <w:color w:val="000000"/>
                <w:sz w:val="14"/>
                <w:szCs w:val="14"/>
                <w:lang w:val="es-ES" w:eastAsia="es-MX"/>
              </w:rPr>
              <w:t>*  Vigencia de la constancia únicamente por 30 días.</w:t>
            </w:r>
          </w:p>
        </w:tc>
        <w:tc>
          <w:tcPr>
            <w:tcW w:w="311" w:type="dxa"/>
            <w:tcBorders>
              <w:top w:val="nil"/>
              <w:left w:val="nil"/>
              <w:bottom w:val="nil"/>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2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double" w:sz="6" w:space="0" w:color="auto"/>
              <w:bottom w:val="double" w:sz="6" w:space="0" w:color="auto"/>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double" w:sz="6" w:space="0" w:color="auto"/>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14"/>
                <w:szCs w:val="14"/>
                <w:lang w:val="es-ES" w:eastAsia="es-MX"/>
              </w:rPr>
            </w:pPr>
            <w:r w:rsidRPr="00770DC1">
              <w:rPr>
                <w:rFonts w:ascii="Tahoma" w:eastAsia="Times New Roman" w:hAnsi="Tahoma" w:cs="Tahoma"/>
                <w:color w:val="000000"/>
                <w:sz w:val="14"/>
                <w:szCs w:val="14"/>
                <w:lang w:val="es-ES" w:eastAsia="es-MX"/>
              </w:rPr>
              <w:t>** Cifras obtenidas del sistema SAF</w:t>
            </w:r>
          </w:p>
        </w:tc>
        <w:tc>
          <w:tcPr>
            <w:tcW w:w="5764" w:type="dxa"/>
            <w:tcBorders>
              <w:top w:val="nil"/>
              <w:left w:val="nil"/>
              <w:bottom w:val="double" w:sz="6" w:space="0" w:color="auto"/>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14"/>
                <w:szCs w:val="14"/>
                <w:lang w:val="es-ES" w:eastAsia="es-MX"/>
              </w:rPr>
            </w:pPr>
            <w:r w:rsidRPr="00770DC1">
              <w:rPr>
                <w:rFonts w:ascii="Tahoma" w:eastAsia="Times New Roman" w:hAnsi="Tahoma" w:cs="Tahoma"/>
                <w:color w:val="000000"/>
                <w:sz w:val="14"/>
                <w:szCs w:val="14"/>
                <w:lang w:val="es-ES" w:eastAsia="es-MX"/>
              </w:rPr>
              <w:t> </w:t>
            </w:r>
          </w:p>
        </w:tc>
        <w:tc>
          <w:tcPr>
            <w:tcW w:w="311" w:type="dxa"/>
            <w:tcBorders>
              <w:top w:val="nil"/>
              <w:left w:val="nil"/>
              <w:bottom w:val="double" w:sz="6" w:space="0" w:color="auto"/>
              <w:right w:val="double" w:sz="6" w:space="0" w:color="auto"/>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150"/>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double" w:sz="6" w:space="0" w:color="800000"/>
              <w:bottom w:val="double" w:sz="6" w:space="0" w:color="8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double" w:sz="6" w:space="0" w:color="8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double" w:sz="6" w:space="0" w:color="8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5764" w:type="dxa"/>
            <w:tcBorders>
              <w:top w:val="nil"/>
              <w:left w:val="nil"/>
              <w:bottom w:val="double" w:sz="6" w:space="0" w:color="8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double" w:sz="6" w:space="0" w:color="8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double" w:sz="6" w:space="0" w:color="800000"/>
              <w:right w:val="double" w:sz="6" w:space="0" w:color="8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85"/>
        </w:trPr>
        <w:tc>
          <w:tcPr>
            <w:tcW w:w="300" w:type="dxa"/>
            <w:tcBorders>
              <w:top w:val="nil"/>
              <w:left w:val="single" w:sz="12" w:space="0" w:color="000000"/>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Arial" w:eastAsia="Times New Roman" w:hAnsi="Arial" w:cs="Arial"/>
                <w:sz w:val="20"/>
                <w:szCs w:val="20"/>
                <w:lang w:val="es-ES" w:eastAsia="es-MX"/>
              </w:rPr>
            </w:pPr>
            <w:r w:rsidRPr="002639D8">
              <w:rPr>
                <w:rFonts w:ascii="Arial" w:eastAsia="Times New Roman" w:hAnsi="Arial" w:cs="Arial"/>
                <w:noProof/>
                <w:sz w:val="20"/>
                <w:szCs w:val="20"/>
              </w:rPr>
              <w:drawing>
                <wp:anchor distT="0" distB="0" distL="114300" distR="114300" simplePos="0" relativeHeight="251669504" behindDoc="0" locked="0" layoutInCell="1" allowOverlap="1" wp14:anchorId="07DB3CC9" wp14:editId="00B7967B">
                  <wp:simplePos x="0" y="0"/>
                  <wp:positionH relativeFrom="column">
                    <wp:posOffset>76200</wp:posOffset>
                  </wp:positionH>
                  <wp:positionV relativeFrom="paragraph">
                    <wp:posOffset>76200</wp:posOffset>
                  </wp:positionV>
                  <wp:extent cx="6162675" cy="104775"/>
                  <wp:effectExtent l="0" t="0" r="0" b="9525"/>
                  <wp:wrapNone/>
                  <wp:docPr id="125268" name="Imagen 125268" descr="BD14996_"/>
                  <wp:cNvGraphicFramePr/>
                  <a:graphic xmlns:a="http://schemas.openxmlformats.org/drawingml/2006/main">
                    <a:graphicData uri="http://schemas.openxmlformats.org/drawingml/2006/picture">
                      <pic:pic xmlns:pic="http://schemas.openxmlformats.org/drawingml/2006/picture">
                        <pic:nvPicPr>
                          <pic:cNvPr id="125268" name="Picture 66" descr="BD14996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0"/>
            </w:tblGrid>
            <w:tr w:rsidR="00770DC1" w:rsidRPr="00770DC1" w:rsidTr="0013392D">
              <w:trPr>
                <w:trHeight w:val="285"/>
                <w:tblCellSpacing w:w="0" w:type="dxa"/>
              </w:trPr>
              <w:tc>
                <w:tcPr>
                  <w:tcW w:w="180" w:type="dxa"/>
                  <w:tcBorders>
                    <w:top w:val="nil"/>
                    <w:left w:val="nil"/>
                    <w:bottom w:val="nil"/>
                    <w:right w:val="nil"/>
                  </w:tcBorders>
                  <w:shd w:val="clear" w:color="auto" w:fill="auto"/>
                  <w:noWrap/>
                  <w:vAlign w:val="bottom"/>
                  <w:hideMark/>
                </w:tcPr>
                <w:p w:rsidR="00770DC1" w:rsidRPr="00770DC1" w:rsidRDefault="00770DC1" w:rsidP="0013392D">
                  <w:pPr>
                    <w:framePr w:hSpace="141" w:wrap="around" w:hAnchor="page" w:x="1" w:y="-1410"/>
                    <w:rPr>
                      <w:rFonts w:ascii="Arial" w:eastAsia="Times New Roman" w:hAnsi="Arial" w:cs="Arial"/>
                      <w:sz w:val="20"/>
                      <w:szCs w:val="20"/>
                      <w:lang w:val="es-ES" w:eastAsia="es-MX"/>
                    </w:rPr>
                  </w:pPr>
                </w:p>
              </w:tc>
            </w:tr>
          </w:tbl>
          <w:p w:rsidR="00770DC1" w:rsidRPr="00770DC1" w:rsidRDefault="00770DC1" w:rsidP="0013392D">
            <w:pPr>
              <w:rPr>
                <w:rFonts w:ascii="Arial" w:eastAsia="Times New Roman" w:hAnsi="Arial" w:cs="Arial"/>
                <w:sz w:val="20"/>
                <w:szCs w:val="20"/>
                <w:lang w:val="es-ES" w:eastAsia="es-MX"/>
              </w:rPr>
            </w:pPr>
          </w:p>
        </w:tc>
        <w:tc>
          <w:tcPr>
            <w:tcW w:w="31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5764"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85"/>
        </w:trPr>
        <w:tc>
          <w:tcPr>
            <w:tcW w:w="300" w:type="dxa"/>
            <w:tcBorders>
              <w:top w:val="nil"/>
              <w:left w:val="single" w:sz="12" w:space="0" w:color="000000"/>
              <w:bottom w:val="single" w:sz="12" w:space="0" w:color="0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32" w:type="dxa"/>
            <w:tcBorders>
              <w:top w:val="nil"/>
              <w:left w:val="nil"/>
              <w:bottom w:val="single" w:sz="12" w:space="0" w:color="0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single" w:sz="12" w:space="0" w:color="000000"/>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single" w:sz="12" w:space="0" w:color="000000"/>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5764" w:type="dxa"/>
            <w:tcBorders>
              <w:top w:val="nil"/>
              <w:left w:val="nil"/>
              <w:bottom w:val="single" w:sz="12" w:space="0" w:color="000000"/>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single" w:sz="12" w:space="0" w:color="000000"/>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single" w:sz="12" w:space="0" w:color="000000"/>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single" w:sz="12" w:space="0" w:color="000000"/>
              <w:right w:val="single" w:sz="12" w:space="0" w:color="000000"/>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10"/>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05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5764"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nil"/>
            </w:tcBorders>
            <w:shd w:val="clear" w:color="000000" w:fill="FFFFFF"/>
            <w:noWrap/>
            <w:vAlign w:val="bottom"/>
            <w:hideMark/>
          </w:tcPr>
          <w:p w:rsidR="00770DC1" w:rsidRPr="00770DC1" w:rsidRDefault="00770DC1" w:rsidP="0013392D">
            <w:pPr>
              <w:rPr>
                <w:rFonts w:ascii="Tahoma" w:eastAsia="Times New Roman" w:hAnsi="Tahoma" w:cs="Tahoma"/>
                <w:color w:val="000000"/>
                <w:sz w:val="20"/>
                <w:szCs w:val="20"/>
                <w:lang w:val="es-ES" w:eastAsia="es-MX"/>
              </w:rPr>
            </w:pPr>
            <w:r w:rsidRPr="00770DC1">
              <w:rPr>
                <w:rFonts w:ascii="Tahoma" w:eastAsia="Times New Roman" w:hAnsi="Tahoma" w:cs="Tahoma"/>
                <w:color w:val="000000"/>
                <w:sz w:val="20"/>
                <w:szCs w:val="20"/>
                <w:lang w:val="es-ES" w:eastAsia="es-MX"/>
              </w:rPr>
              <w:t> </w:t>
            </w: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ahoma" w:eastAsia="Times New Roman" w:hAnsi="Tahoma" w:cs="Tahoma"/>
                <w:color w:val="000000"/>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center"/>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center"/>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jc w:val="right"/>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r w:rsidR="00770DC1" w:rsidRPr="00770DC1" w:rsidTr="0013392D">
        <w:trPr>
          <w:trHeight w:val="255"/>
        </w:trPr>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32"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5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5764"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11"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30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11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8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c>
          <w:tcPr>
            <w:tcW w:w="680" w:type="dxa"/>
            <w:tcBorders>
              <w:top w:val="nil"/>
              <w:left w:val="nil"/>
              <w:bottom w:val="nil"/>
              <w:right w:val="nil"/>
            </w:tcBorders>
            <w:shd w:val="clear" w:color="auto" w:fill="auto"/>
            <w:noWrap/>
            <w:vAlign w:val="bottom"/>
            <w:hideMark/>
          </w:tcPr>
          <w:p w:rsidR="00770DC1" w:rsidRPr="00770DC1" w:rsidRDefault="00770DC1" w:rsidP="0013392D">
            <w:pPr>
              <w:rPr>
                <w:rFonts w:ascii="Times New Roman" w:eastAsia="Times New Roman" w:hAnsi="Times New Roman" w:cs="Times New Roman"/>
                <w:sz w:val="20"/>
                <w:szCs w:val="20"/>
                <w:lang w:val="es-ES" w:eastAsia="es-MX"/>
              </w:rPr>
            </w:pPr>
          </w:p>
        </w:tc>
      </w:tr>
    </w:tbl>
    <w:p w:rsidR="00770DC1" w:rsidRPr="00770DC1" w:rsidRDefault="00770DC1" w:rsidP="00770DC1">
      <w:pPr>
        <w:rPr>
          <w:rFonts w:ascii="Perpetua" w:eastAsia="Times New Roman" w:hAnsi="Perpetua" w:cs="Arial"/>
          <w:bCs/>
          <w:iCs/>
          <w:sz w:val="20"/>
          <w:szCs w:val="20"/>
          <w:lang w:val="es-ES" w:eastAsia="es-MX"/>
        </w:rPr>
      </w:pPr>
      <w:bookmarkStart w:id="1" w:name="_GoBack"/>
      <w:bookmarkEnd w:id="1"/>
    </w:p>
    <w:p w:rsidR="00770DC1" w:rsidRDefault="00770DC1" w:rsidP="008E260A">
      <w:pPr>
        <w:jc w:val="center"/>
        <w:rPr>
          <w:rFonts w:ascii="Calibri" w:hAnsi="Calibri"/>
          <w:b/>
          <w:sz w:val="20"/>
          <w:szCs w:val="20"/>
          <w:lang w:val="es-MX"/>
        </w:rPr>
      </w:pPr>
    </w:p>
    <w:sectPr w:rsidR="00770DC1" w:rsidSect="00024880">
      <w:headerReference w:type="default" r:id="rId14"/>
      <w:footerReference w:type="default" r:id="rId1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58B" w:rsidRDefault="00E0358B" w:rsidP="00C24DE6">
      <w:r>
        <w:separator/>
      </w:r>
    </w:p>
  </w:endnote>
  <w:endnote w:type="continuationSeparator" w:id="0">
    <w:p w:rsidR="00E0358B" w:rsidRDefault="00E0358B" w:rsidP="00C2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9A9" w:rsidRDefault="008E260A" w:rsidP="0097454C">
    <w:pPr>
      <w:pStyle w:val="Piedepgina"/>
      <w:jc w:val="right"/>
    </w:pPr>
    <w:r>
      <w:rPr>
        <w:noProof/>
      </w:rPr>
      <mc:AlternateContent>
        <mc:Choice Requires="wps">
          <w:drawing>
            <wp:anchor distT="0" distB="0" distL="114300" distR="114300" simplePos="0" relativeHeight="251674624" behindDoc="0" locked="0" layoutInCell="1" allowOverlap="1">
              <wp:simplePos x="0" y="0"/>
              <wp:positionH relativeFrom="column">
                <wp:posOffset>226695</wp:posOffset>
              </wp:positionH>
              <wp:positionV relativeFrom="paragraph">
                <wp:posOffset>-434975</wp:posOffset>
              </wp:positionV>
              <wp:extent cx="5490210" cy="439420"/>
              <wp:effectExtent l="0" t="0" r="0" b="0"/>
              <wp:wrapNone/>
              <wp:docPr id="5"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0210" cy="43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119" w:rsidRPr="00530EF5" w:rsidRDefault="007C0119" w:rsidP="00530EF5">
                          <w:pPr>
                            <w:jc w:val="center"/>
                            <w:rPr>
                              <w:rFonts w:ascii="Book Antiqua" w:hAnsi="Book Antiqua"/>
                              <w:b/>
                              <w:color w:val="808080" w:themeColor="background1" w:themeShade="80"/>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9" type="#_x0000_t202" style="position:absolute;left:0;text-align:left;margin-left:17.85pt;margin-top:-34.25pt;width:432.3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" fillcolor="white [3201]" stroked="f" strokeweight=".5pt">
              <v:path arrowok="t"/>
              <v:textbox>
                <w:txbxContent>
                  <w:p w:rsidR="007C0119" w:rsidRPr="00530EF5" w:rsidRDefault="007C0119" w:rsidP="00530EF5">
                    <w:pPr>
                      <w:jc w:val="center"/>
                      <w:rPr>
                        <w:rFonts w:ascii="Book Antiqua" w:hAnsi="Book Antiqua"/>
                        <w:b/>
                        <w:color w:val="808080" w:themeColor="background1" w:themeShade="80"/>
                        <w:sz w:val="22"/>
                        <w:lang w:val="es-MX"/>
                      </w:rPr>
                    </w:pPr>
                  </w:p>
                </w:txbxContent>
              </v:textbox>
            </v:shape>
          </w:pict>
        </mc:Fallback>
      </mc:AlternateContent>
    </w:r>
    <w:r>
      <w:rPr>
        <w:noProof/>
        <w:sz w:val="22"/>
      </w:rPr>
      <mc:AlternateContent>
        <mc:Choice Requires="wps">
          <w:drawing>
            <wp:anchor distT="0" distB="0" distL="114300" distR="114300" simplePos="0" relativeHeight="251670528" behindDoc="0" locked="0" layoutInCell="1" allowOverlap="1">
              <wp:simplePos x="0" y="0"/>
              <wp:positionH relativeFrom="column">
                <wp:posOffset>144780</wp:posOffset>
              </wp:positionH>
              <wp:positionV relativeFrom="paragraph">
                <wp:posOffset>-450215</wp:posOffset>
              </wp:positionV>
              <wp:extent cx="5490845" cy="440055"/>
              <wp:effectExtent l="0" t="0" r="0" b="0"/>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0845" cy="440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B76" w:rsidRPr="009F0B76" w:rsidRDefault="009F0B76" w:rsidP="009F0B76">
                          <w:pPr>
                            <w:jc w:val="center"/>
                            <w:rPr>
                              <w:rFonts w:ascii="Book Antiqua" w:hAnsi="Book Antiqua"/>
                              <w:b/>
                              <w:color w:val="7F7F7F" w:themeColor="text1" w:themeTint="80"/>
                              <w:sz w:val="22"/>
                              <w:lang w:val="es-MX"/>
                            </w:rPr>
                          </w:pPr>
                          <w:r w:rsidRPr="009F0B76">
                            <w:rPr>
                              <w:rFonts w:ascii="Book Antiqua" w:hAnsi="Book Antiqua"/>
                              <w:b/>
                              <w:color w:val="7F7F7F" w:themeColor="text1" w:themeTint="80"/>
                              <w:sz w:val="22"/>
                              <w:lang w:val="es-MX"/>
                            </w:rPr>
                            <w:t>“2018, Año del Centenario del Natalicio de José Fuentes Mares”</w:t>
                          </w:r>
                        </w:p>
                        <w:p w:rsidR="009F0B76" w:rsidRPr="009F0B76" w:rsidRDefault="009F0B76" w:rsidP="009F0B76">
                          <w:pPr>
                            <w:jc w:val="center"/>
                            <w:rPr>
                              <w:rFonts w:ascii="Book Antiqua" w:hAnsi="Book Antiqua"/>
                              <w:b/>
                              <w:color w:val="7F7F7F" w:themeColor="text1" w:themeTint="80"/>
                              <w:sz w:val="22"/>
                              <w:lang w:val="es-MX"/>
                            </w:rPr>
                          </w:pPr>
                          <w:r w:rsidRPr="009F0B76">
                            <w:rPr>
                              <w:rFonts w:ascii="Book Antiqua" w:hAnsi="Book Antiqua"/>
                              <w:b/>
                              <w:color w:val="7F7F7F" w:themeColor="text1" w:themeTint="80"/>
                              <w:sz w:val="22"/>
                              <w:lang w:val="es-MX"/>
                            </w:rPr>
                            <w:t>“2018, Año de la Familia y los 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6 Cuadro de texto" o:spid="_x0000_s1030" type="#_x0000_t202" style="position:absolute;left:0;text-align:left;margin-left:11.4pt;margin-top:-35.45pt;width:432.35pt;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" fillcolor="white [3201]" stroked="f" strokeweight=".5pt">
              <v:path arrowok="t"/>
              <v:textbox>
                <w:txbxContent>
                  <w:p w:rsidR="009F0B76" w:rsidRPr="009F0B76" w:rsidRDefault="009F0B76" w:rsidP="009F0B76">
                    <w:pPr>
                      <w:jc w:val="center"/>
                      <w:rPr>
                        <w:rFonts w:ascii="Book Antiqua" w:hAnsi="Book Antiqua"/>
                        <w:b/>
                        <w:color w:val="7F7F7F" w:themeColor="text1" w:themeTint="80"/>
                        <w:sz w:val="22"/>
                        <w:lang w:val="es-MX"/>
                      </w:rPr>
                    </w:pPr>
                    <w:r w:rsidRPr="009F0B76">
                      <w:rPr>
                        <w:rFonts w:ascii="Book Antiqua" w:hAnsi="Book Antiqua"/>
                        <w:b/>
                        <w:color w:val="7F7F7F" w:themeColor="text1" w:themeTint="80"/>
                        <w:sz w:val="22"/>
                        <w:lang w:val="es-MX"/>
                      </w:rPr>
                      <w:t>“2018, Año del Centenario del Natalicio de José Fuentes Mares”</w:t>
                    </w:r>
                  </w:p>
                  <w:p w:rsidR="009F0B76" w:rsidRPr="009F0B76" w:rsidRDefault="009F0B76" w:rsidP="009F0B76">
                    <w:pPr>
                      <w:jc w:val="center"/>
                      <w:rPr>
                        <w:rFonts w:ascii="Book Antiqua" w:hAnsi="Book Antiqua"/>
                        <w:b/>
                        <w:color w:val="7F7F7F" w:themeColor="text1" w:themeTint="80"/>
                        <w:sz w:val="22"/>
                        <w:lang w:val="es-MX"/>
                      </w:rPr>
                    </w:pPr>
                    <w:r w:rsidRPr="009F0B76">
                      <w:rPr>
                        <w:rFonts w:ascii="Book Antiqua" w:hAnsi="Book Antiqua"/>
                        <w:b/>
                        <w:color w:val="7F7F7F" w:themeColor="text1" w:themeTint="80"/>
                        <w:sz w:val="22"/>
                        <w:lang w:val="es-MX"/>
                      </w:rPr>
                      <w:t>“2018, Año de la Familia y los Valores”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58B" w:rsidRDefault="00E0358B" w:rsidP="00C24DE6">
      <w:r>
        <w:separator/>
      </w:r>
    </w:p>
  </w:footnote>
  <w:footnote w:type="continuationSeparator" w:id="0">
    <w:p w:rsidR="00E0358B" w:rsidRDefault="00E0358B" w:rsidP="00C24D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A1" w:rsidRPr="0097454C" w:rsidRDefault="0097454C" w:rsidP="00B37D0F">
    <w:pPr>
      <w:pStyle w:val="Encabezado"/>
      <w:jc w:val="right"/>
    </w:pPr>
    <w:r w:rsidRPr="0097454C">
      <w:rPr>
        <w:color w:val="FFFFFF" w:themeColor="background1"/>
      </w:rPr>
      <w:t xml:space="preserve">HOJA </w:t>
    </w:r>
    <w:r w:rsidR="00F17C63" w:rsidRPr="0097454C">
      <w:rPr>
        <w:color w:val="FFFFFF" w:themeColor="background1"/>
      </w:rPr>
      <w:fldChar w:fldCharType="begin"/>
    </w:r>
    <w:r w:rsidRPr="0097454C">
      <w:rPr>
        <w:color w:val="FFFFFF" w:themeColor="background1"/>
      </w:rPr>
      <w:instrText xml:space="preserve"> PAGE   \* MERGEFORMAT </w:instrText>
    </w:r>
    <w:r w:rsidR="00F17C63" w:rsidRPr="0097454C">
      <w:rPr>
        <w:color w:val="FFFFFF" w:themeColor="background1"/>
      </w:rPr>
      <w:fldChar w:fldCharType="separate"/>
    </w:r>
    <w:r w:rsidR="00770DC1">
      <w:rPr>
        <w:noProof/>
        <w:color w:val="FFFFFF" w:themeColor="background1"/>
      </w:rPr>
      <w:t>1</w:t>
    </w:r>
    <w:r w:rsidR="00F17C63" w:rsidRPr="0097454C">
      <w:rPr>
        <w:color w:val="FFFFFF" w:themeColor="background1"/>
      </w:rPr>
      <w:fldChar w:fldCharType="end"/>
    </w:r>
    <w:r w:rsidRPr="0097454C">
      <w:rPr>
        <w:color w:val="FFFFFF" w:themeColor="background1"/>
      </w:rPr>
      <w:t xml:space="preserve"> DE </w:t>
    </w:r>
    <w:fldSimple w:instr=" NUMPAGES   \* MERGEFORMAT ">
      <w:r w:rsidR="00770DC1" w:rsidRPr="00770DC1">
        <w:rPr>
          <w:noProof/>
          <w:color w:val="FFFFFF" w:themeColor="background1"/>
        </w:rPr>
        <w:t>14</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8A8"/>
    <w:multiLevelType w:val="hybridMultilevel"/>
    <w:tmpl w:val="924A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84797"/>
    <w:multiLevelType w:val="hybridMultilevel"/>
    <w:tmpl w:val="3D34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278D3"/>
    <w:multiLevelType w:val="hybridMultilevel"/>
    <w:tmpl w:val="F16443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E0C4BD6"/>
    <w:multiLevelType w:val="hybridMultilevel"/>
    <w:tmpl w:val="A164EFB4"/>
    <w:lvl w:ilvl="0" w:tplc="46D4BAD8">
      <w:start w:val="1"/>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847338"/>
    <w:multiLevelType w:val="hybridMultilevel"/>
    <w:tmpl w:val="A164EFB4"/>
    <w:lvl w:ilvl="0" w:tplc="46D4BAD8">
      <w:start w:val="1"/>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B22BCF"/>
    <w:multiLevelType w:val="hybridMultilevel"/>
    <w:tmpl w:val="930A5B42"/>
    <w:lvl w:ilvl="0" w:tplc="22B2889E">
      <w:start w:val="1"/>
      <w:numFmt w:val="decimalZero"/>
      <w:lvlText w:val="%1"/>
      <w:lvlJc w:val="left"/>
      <w:pPr>
        <w:ind w:left="1140" w:hanging="4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63433B63"/>
    <w:multiLevelType w:val="hybridMultilevel"/>
    <w:tmpl w:val="DB3051A4"/>
    <w:lvl w:ilvl="0" w:tplc="1F181EE6">
      <w:start w:val="1"/>
      <w:numFmt w:val="decimalZero"/>
      <w:lvlText w:val="%1"/>
      <w:lvlJc w:val="left"/>
      <w:pPr>
        <w:ind w:left="1140" w:hanging="4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69D3FF2"/>
    <w:multiLevelType w:val="hybridMultilevel"/>
    <w:tmpl w:val="C8E8EAA2"/>
    <w:lvl w:ilvl="0" w:tplc="15A6F042">
      <w:start w:val="1"/>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5"/>
  </w:num>
  <w:num w:numId="4">
    <w:abstractNumId w:val="0"/>
  </w:num>
  <w:num w:numId="5">
    <w:abstractNumId w:val="1"/>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DE6"/>
    <w:rsid w:val="0000547E"/>
    <w:rsid w:val="000058E9"/>
    <w:rsid w:val="00006FC3"/>
    <w:rsid w:val="00011DFB"/>
    <w:rsid w:val="000123A4"/>
    <w:rsid w:val="00012FD6"/>
    <w:rsid w:val="00013658"/>
    <w:rsid w:val="00017E2F"/>
    <w:rsid w:val="000202D6"/>
    <w:rsid w:val="00024880"/>
    <w:rsid w:val="00032D62"/>
    <w:rsid w:val="0004173B"/>
    <w:rsid w:val="0004721C"/>
    <w:rsid w:val="000524D5"/>
    <w:rsid w:val="000625D1"/>
    <w:rsid w:val="00062E06"/>
    <w:rsid w:val="00063655"/>
    <w:rsid w:val="00083C5A"/>
    <w:rsid w:val="000842E3"/>
    <w:rsid w:val="00084B3E"/>
    <w:rsid w:val="000865B0"/>
    <w:rsid w:val="00086CD2"/>
    <w:rsid w:val="00091ED4"/>
    <w:rsid w:val="000B13F0"/>
    <w:rsid w:val="000B670B"/>
    <w:rsid w:val="000C5651"/>
    <w:rsid w:val="000C7D4E"/>
    <w:rsid w:val="000C7EC8"/>
    <w:rsid w:val="000D1BBF"/>
    <w:rsid w:val="000D42E5"/>
    <w:rsid w:val="000D7166"/>
    <w:rsid w:val="000E1C43"/>
    <w:rsid w:val="000E4347"/>
    <w:rsid w:val="000E6FE9"/>
    <w:rsid w:val="000F3CB2"/>
    <w:rsid w:val="00100933"/>
    <w:rsid w:val="00101099"/>
    <w:rsid w:val="001020ED"/>
    <w:rsid w:val="001034DE"/>
    <w:rsid w:val="00104CFF"/>
    <w:rsid w:val="00107AC3"/>
    <w:rsid w:val="0011156F"/>
    <w:rsid w:val="00115233"/>
    <w:rsid w:val="00115835"/>
    <w:rsid w:val="00116263"/>
    <w:rsid w:val="001165AD"/>
    <w:rsid w:val="00120887"/>
    <w:rsid w:val="00121581"/>
    <w:rsid w:val="001223CE"/>
    <w:rsid w:val="00126C15"/>
    <w:rsid w:val="00137AB4"/>
    <w:rsid w:val="001413F5"/>
    <w:rsid w:val="00141D13"/>
    <w:rsid w:val="00152689"/>
    <w:rsid w:val="00153C74"/>
    <w:rsid w:val="00154CD4"/>
    <w:rsid w:val="00154E72"/>
    <w:rsid w:val="00162F51"/>
    <w:rsid w:val="00164FA6"/>
    <w:rsid w:val="0017293B"/>
    <w:rsid w:val="00174E88"/>
    <w:rsid w:val="00176343"/>
    <w:rsid w:val="00176875"/>
    <w:rsid w:val="00181594"/>
    <w:rsid w:val="00185998"/>
    <w:rsid w:val="001867EC"/>
    <w:rsid w:val="001901E9"/>
    <w:rsid w:val="00194A31"/>
    <w:rsid w:val="00196A4D"/>
    <w:rsid w:val="001974CC"/>
    <w:rsid w:val="001A7743"/>
    <w:rsid w:val="001B23CE"/>
    <w:rsid w:val="001B6352"/>
    <w:rsid w:val="001C30DD"/>
    <w:rsid w:val="001C5502"/>
    <w:rsid w:val="001D0BD2"/>
    <w:rsid w:val="001E012B"/>
    <w:rsid w:val="001E148D"/>
    <w:rsid w:val="001E23C0"/>
    <w:rsid w:val="001E3C9D"/>
    <w:rsid w:val="001E7027"/>
    <w:rsid w:val="001F20D6"/>
    <w:rsid w:val="001F2520"/>
    <w:rsid w:val="001F2E61"/>
    <w:rsid w:val="0020015C"/>
    <w:rsid w:val="0020045D"/>
    <w:rsid w:val="0020322A"/>
    <w:rsid w:val="00204784"/>
    <w:rsid w:val="00206141"/>
    <w:rsid w:val="002062DF"/>
    <w:rsid w:val="0020665D"/>
    <w:rsid w:val="00223E31"/>
    <w:rsid w:val="0022541B"/>
    <w:rsid w:val="00236B49"/>
    <w:rsid w:val="00240AFD"/>
    <w:rsid w:val="00243137"/>
    <w:rsid w:val="00250089"/>
    <w:rsid w:val="00255763"/>
    <w:rsid w:val="00267010"/>
    <w:rsid w:val="00271441"/>
    <w:rsid w:val="002718BF"/>
    <w:rsid w:val="002723D0"/>
    <w:rsid w:val="00276D44"/>
    <w:rsid w:val="00280DFE"/>
    <w:rsid w:val="00286A68"/>
    <w:rsid w:val="00291441"/>
    <w:rsid w:val="00293535"/>
    <w:rsid w:val="002A1E09"/>
    <w:rsid w:val="002A546A"/>
    <w:rsid w:val="002A757B"/>
    <w:rsid w:val="002B0FF1"/>
    <w:rsid w:val="002B2CAD"/>
    <w:rsid w:val="002B5622"/>
    <w:rsid w:val="002C13C8"/>
    <w:rsid w:val="002C1C69"/>
    <w:rsid w:val="002C4040"/>
    <w:rsid w:val="002C7838"/>
    <w:rsid w:val="002D0065"/>
    <w:rsid w:val="002D38CC"/>
    <w:rsid w:val="002D49A7"/>
    <w:rsid w:val="002E2B48"/>
    <w:rsid w:val="002E613C"/>
    <w:rsid w:val="002F56F9"/>
    <w:rsid w:val="002F634B"/>
    <w:rsid w:val="003025DF"/>
    <w:rsid w:val="00303231"/>
    <w:rsid w:val="00312A52"/>
    <w:rsid w:val="003306D7"/>
    <w:rsid w:val="00337E26"/>
    <w:rsid w:val="00341F06"/>
    <w:rsid w:val="00346211"/>
    <w:rsid w:val="00347B11"/>
    <w:rsid w:val="0035384A"/>
    <w:rsid w:val="0035404A"/>
    <w:rsid w:val="003575B5"/>
    <w:rsid w:val="00357D3E"/>
    <w:rsid w:val="00372346"/>
    <w:rsid w:val="00376A66"/>
    <w:rsid w:val="00377BCC"/>
    <w:rsid w:val="00377F0C"/>
    <w:rsid w:val="00382DAA"/>
    <w:rsid w:val="00390674"/>
    <w:rsid w:val="00392962"/>
    <w:rsid w:val="003946CB"/>
    <w:rsid w:val="0039493C"/>
    <w:rsid w:val="00394ED5"/>
    <w:rsid w:val="0039604E"/>
    <w:rsid w:val="003A3148"/>
    <w:rsid w:val="003A4C5F"/>
    <w:rsid w:val="003A5318"/>
    <w:rsid w:val="003B37DE"/>
    <w:rsid w:val="003B39A9"/>
    <w:rsid w:val="003B3FF0"/>
    <w:rsid w:val="003B5A0D"/>
    <w:rsid w:val="003C05BB"/>
    <w:rsid w:val="003C110D"/>
    <w:rsid w:val="003D28E3"/>
    <w:rsid w:val="003D59BF"/>
    <w:rsid w:val="003D64F6"/>
    <w:rsid w:val="003E3AB5"/>
    <w:rsid w:val="003E5DB0"/>
    <w:rsid w:val="003F2412"/>
    <w:rsid w:val="003F30E1"/>
    <w:rsid w:val="003F4E3E"/>
    <w:rsid w:val="003F6C06"/>
    <w:rsid w:val="003F7CD3"/>
    <w:rsid w:val="00405683"/>
    <w:rsid w:val="00410574"/>
    <w:rsid w:val="00413E76"/>
    <w:rsid w:val="00414FE7"/>
    <w:rsid w:val="004232EA"/>
    <w:rsid w:val="00423875"/>
    <w:rsid w:val="0042789E"/>
    <w:rsid w:val="00427F28"/>
    <w:rsid w:val="00435607"/>
    <w:rsid w:val="0043784E"/>
    <w:rsid w:val="00437F55"/>
    <w:rsid w:val="00440537"/>
    <w:rsid w:val="00441DE8"/>
    <w:rsid w:val="004425A1"/>
    <w:rsid w:val="004562DC"/>
    <w:rsid w:val="00460A9D"/>
    <w:rsid w:val="00462D8C"/>
    <w:rsid w:val="00472AD0"/>
    <w:rsid w:val="00483151"/>
    <w:rsid w:val="0049158E"/>
    <w:rsid w:val="00491824"/>
    <w:rsid w:val="00493CF9"/>
    <w:rsid w:val="0049506E"/>
    <w:rsid w:val="004A668B"/>
    <w:rsid w:val="004B20C7"/>
    <w:rsid w:val="004B6A15"/>
    <w:rsid w:val="004C2454"/>
    <w:rsid w:val="004C4347"/>
    <w:rsid w:val="004D28B7"/>
    <w:rsid w:val="004D4875"/>
    <w:rsid w:val="004D4F5B"/>
    <w:rsid w:val="004D5608"/>
    <w:rsid w:val="004D75EC"/>
    <w:rsid w:val="004E48B3"/>
    <w:rsid w:val="004E7037"/>
    <w:rsid w:val="004F1EC7"/>
    <w:rsid w:val="004F7717"/>
    <w:rsid w:val="00510ECF"/>
    <w:rsid w:val="0051175F"/>
    <w:rsid w:val="00521888"/>
    <w:rsid w:val="00530EF5"/>
    <w:rsid w:val="00537E84"/>
    <w:rsid w:val="00542DCD"/>
    <w:rsid w:val="0055675D"/>
    <w:rsid w:val="00556841"/>
    <w:rsid w:val="00557450"/>
    <w:rsid w:val="005606AD"/>
    <w:rsid w:val="005612BA"/>
    <w:rsid w:val="005641B4"/>
    <w:rsid w:val="0057350D"/>
    <w:rsid w:val="00573564"/>
    <w:rsid w:val="0057623D"/>
    <w:rsid w:val="005777ED"/>
    <w:rsid w:val="00596A33"/>
    <w:rsid w:val="005A0D51"/>
    <w:rsid w:val="005A24B7"/>
    <w:rsid w:val="005A3CC8"/>
    <w:rsid w:val="005B1986"/>
    <w:rsid w:val="005B5D19"/>
    <w:rsid w:val="005C1E22"/>
    <w:rsid w:val="005C5A6D"/>
    <w:rsid w:val="005D06EE"/>
    <w:rsid w:val="005D12A1"/>
    <w:rsid w:val="005D30EC"/>
    <w:rsid w:val="005D494B"/>
    <w:rsid w:val="005D648D"/>
    <w:rsid w:val="005E21EB"/>
    <w:rsid w:val="005F4725"/>
    <w:rsid w:val="005F54C2"/>
    <w:rsid w:val="005F61B5"/>
    <w:rsid w:val="005F6342"/>
    <w:rsid w:val="00600389"/>
    <w:rsid w:val="006104E8"/>
    <w:rsid w:val="0061394E"/>
    <w:rsid w:val="00617F2A"/>
    <w:rsid w:val="00623D39"/>
    <w:rsid w:val="00633221"/>
    <w:rsid w:val="0064514F"/>
    <w:rsid w:val="00646E7F"/>
    <w:rsid w:val="0065228B"/>
    <w:rsid w:val="006528FB"/>
    <w:rsid w:val="0067041E"/>
    <w:rsid w:val="006750EE"/>
    <w:rsid w:val="00685624"/>
    <w:rsid w:val="00693DB1"/>
    <w:rsid w:val="00695B0C"/>
    <w:rsid w:val="00695E87"/>
    <w:rsid w:val="006A3540"/>
    <w:rsid w:val="006A766E"/>
    <w:rsid w:val="006B302D"/>
    <w:rsid w:val="006B5011"/>
    <w:rsid w:val="006B6AD4"/>
    <w:rsid w:val="006B6ED9"/>
    <w:rsid w:val="006C071A"/>
    <w:rsid w:val="006C3FE1"/>
    <w:rsid w:val="006C4160"/>
    <w:rsid w:val="006C41EA"/>
    <w:rsid w:val="006D021F"/>
    <w:rsid w:val="006D1045"/>
    <w:rsid w:val="006D235D"/>
    <w:rsid w:val="006D25B8"/>
    <w:rsid w:val="006D2C4B"/>
    <w:rsid w:val="006D6F95"/>
    <w:rsid w:val="006D7891"/>
    <w:rsid w:val="006F1D82"/>
    <w:rsid w:val="006F5BC4"/>
    <w:rsid w:val="00716D2A"/>
    <w:rsid w:val="00720708"/>
    <w:rsid w:val="00723E4B"/>
    <w:rsid w:val="00740964"/>
    <w:rsid w:val="00742B38"/>
    <w:rsid w:val="007442A2"/>
    <w:rsid w:val="0075630D"/>
    <w:rsid w:val="007644E6"/>
    <w:rsid w:val="00770DC1"/>
    <w:rsid w:val="00780086"/>
    <w:rsid w:val="00783611"/>
    <w:rsid w:val="0078556C"/>
    <w:rsid w:val="00785D21"/>
    <w:rsid w:val="00786FD2"/>
    <w:rsid w:val="0078765C"/>
    <w:rsid w:val="00795045"/>
    <w:rsid w:val="00796005"/>
    <w:rsid w:val="00797D94"/>
    <w:rsid w:val="007A4E1F"/>
    <w:rsid w:val="007B0333"/>
    <w:rsid w:val="007B1D94"/>
    <w:rsid w:val="007B3609"/>
    <w:rsid w:val="007B52DF"/>
    <w:rsid w:val="007C0119"/>
    <w:rsid w:val="007C11B1"/>
    <w:rsid w:val="007C38A0"/>
    <w:rsid w:val="007D002C"/>
    <w:rsid w:val="007D2CDE"/>
    <w:rsid w:val="007E0882"/>
    <w:rsid w:val="007E0976"/>
    <w:rsid w:val="00800195"/>
    <w:rsid w:val="008013CC"/>
    <w:rsid w:val="00802C87"/>
    <w:rsid w:val="008035F4"/>
    <w:rsid w:val="00804799"/>
    <w:rsid w:val="0080628F"/>
    <w:rsid w:val="00810100"/>
    <w:rsid w:val="008142A2"/>
    <w:rsid w:val="008149DF"/>
    <w:rsid w:val="008168FF"/>
    <w:rsid w:val="00826154"/>
    <w:rsid w:val="00831374"/>
    <w:rsid w:val="008367D8"/>
    <w:rsid w:val="00836C29"/>
    <w:rsid w:val="00845D9E"/>
    <w:rsid w:val="00852B52"/>
    <w:rsid w:val="0085579F"/>
    <w:rsid w:val="00860179"/>
    <w:rsid w:val="00880BE7"/>
    <w:rsid w:val="00882D91"/>
    <w:rsid w:val="00893F51"/>
    <w:rsid w:val="00894FB3"/>
    <w:rsid w:val="0089734E"/>
    <w:rsid w:val="008A097B"/>
    <w:rsid w:val="008A793B"/>
    <w:rsid w:val="008B0025"/>
    <w:rsid w:val="008B1EAC"/>
    <w:rsid w:val="008B6CDB"/>
    <w:rsid w:val="008C0D8A"/>
    <w:rsid w:val="008C22DD"/>
    <w:rsid w:val="008C5255"/>
    <w:rsid w:val="008D52E1"/>
    <w:rsid w:val="008D7B0A"/>
    <w:rsid w:val="008E260A"/>
    <w:rsid w:val="008E2E1F"/>
    <w:rsid w:val="008E6652"/>
    <w:rsid w:val="008E726F"/>
    <w:rsid w:val="008F0E6D"/>
    <w:rsid w:val="008F3B53"/>
    <w:rsid w:val="00901C55"/>
    <w:rsid w:val="00914DEF"/>
    <w:rsid w:val="00914FC5"/>
    <w:rsid w:val="0091686D"/>
    <w:rsid w:val="00916979"/>
    <w:rsid w:val="00924B8E"/>
    <w:rsid w:val="00936C55"/>
    <w:rsid w:val="0094292A"/>
    <w:rsid w:val="0095138F"/>
    <w:rsid w:val="009564EB"/>
    <w:rsid w:val="00966DAE"/>
    <w:rsid w:val="00972FF3"/>
    <w:rsid w:val="0097454C"/>
    <w:rsid w:val="009936FC"/>
    <w:rsid w:val="00996000"/>
    <w:rsid w:val="009A3C7E"/>
    <w:rsid w:val="009B1A3D"/>
    <w:rsid w:val="009B2BDF"/>
    <w:rsid w:val="009B60F8"/>
    <w:rsid w:val="009B66B5"/>
    <w:rsid w:val="009C0519"/>
    <w:rsid w:val="009C0F21"/>
    <w:rsid w:val="009C1299"/>
    <w:rsid w:val="009C251C"/>
    <w:rsid w:val="009C4132"/>
    <w:rsid w:val="009D2317"/>
    <w:rsid w:val="009D2955"/>
    <w:rsid w:val="009E2C5F"/>
    <w:rsid w:val="009E55EF"/>
    <w:rsid w:val="009F0B76"/>
    <w:rsid w:val="009F15F0"/>
    <w:rsid w:val="009F3332"/>
    <w:rsid w:val="009F4D8E"/>
    <w:rsid w:val="00A01EB1"/>
    <w:rsid w:val="00A0722B"/>
    <w:rsid w:val="00A07B74"/>
    <w:rsid w:val="00A07DB1"/>
    <w:rsid w:val="00A16616"/>
    <w:rsid w:val="00A20BEB"/>
    <w:rsid w:val="00A23624"/>
    <w:rsid w:val="00A30366"/>
    <w:rsid w:val="00A307A0"/>
    <w:rsid w:val="00A31059"/>
    <w:rsid w:val="00A338C3"/>
    <w:rsid w:val="00A33C0D"/>
    <w:rsid w:val="00A33FB4"/>
    <w:rsid w:val="00A35744"/>
    <w:rsid w:val="00A3646E"/>
    <w:rsid w:val="00A36E70"/>
    <w:rsid w:val="00A37986"/>
    <w:rsid w:val="00A4451B"/>
    <w:rsid w:val="00A449C2"/>
    <w:rsid w:val="00A556BE"/>
    <w:rsid w:val="00A63B4C"/>
    <w:rsid w:val="00A666E6"/>
    <w:rsid w:val="00A73ECD"/>
    <w:rsid w:val="00A74951"/>
    <w:rsid w:val="00A85E85"/>
    <w:rsid w:val="00A91FF9"/>
    <w:rsid w:val="00AA2C1A"/>
    <w:rsid w:val="00AB02FB"/>
    <w:rsid w:val="00AB0EBD"/>
    <w:rsid w:val="00AB4605"/>
    <w:rsid w:val="00AB543F"/>
    <w:rsid w:val="00AB7A28"/>
    <w:rsid w:val="00AC1413"/>
    <w:rsid w:val="00AC3D88"/>
    <w:rsid w:val="00AC7CFC"/>
    <w:rsid w:val="00AD04BC"/>
    <w:rsid w:val="00AD0F2D"/>
    <w:rsid w:val="00AD2957"/>
    <w:rsid w:val="00AD4F94"/>
    <w:rsid w:val="00AE0030"/>
    <w:rsid w:val="00AF6F62"/>
    <w:rsid w:val="00B05EAC"/>
    <w:rsid w:val="00B06102"/>
    <w:rsid w:val="00B067F5"/>
    <w:rsid w:val="00B068C9"/>
    <w:rsid w:val="00B11C4F"/>
    <w:rsid w:val="00B13F9B"/>
    <w:rsid w:val="00B20826"/>
    <w:rsid w:val="00B20F0A"/>
    <w:rsid w:val="00B27BC1"/>
    <w:rsid w:val="00B31B7E"/>
    <w:rsid w:val="00B345CD"/>
    <w:rsid w:val="00B36348"/>
    <w:rsid w:val="00B37D0F"/>
    <w:rsid w:val="00B41F47"/>
    <w:rsid w:val="00B42F3F"/>
    <w:rsid w:val="00B54C09"/>
    <w:rsid w:val="00B6226E"/>
    <w:rsid w:val="00B64718"/>
    <w:rsid w:val="00B66440"/>
    <w:rsid w:val="00B73D1E"/>
    <w:rsid w:val="00B81405"/>
    <w:rsid w:val="00BB22B2"/>
    <w:rsid w:val="00BB2F22"/>
    <w:rsid w:val="00BB5210"/>
    <w:rsid w:val="00BB6003"/>
    <w:rsid w:val="00BC3611"/>
    <w:rsid w:val="00BC790C"/>
    <w:rsid w:val="00BD21E2"/>
    <w:rsid w:val="00BD2760"/>
    <w:rsid w:val="00BD5B48"/>
    <w:rsid w:val="00BD73AF"/>
    <w:rsid w:val="00BD74F2"/>
    <w:rsid w:val="00BD7DBA"/>
    <w:rsid w:val="00BE272F"/>
    <w:rsid w:val="00BE42E4"/>
    <w:rsid w:val="00BF0C50"/>
    <w:rsid w:val="00BF2D09"/>
    <w:rsid w:val="00BF32A4"/>
    <w:rsid w:val="00BF54FB"/>
    <w:rsid w:val="00BF6F5E"/>
    <w:rsid w:val="00C011D8"/>
    <w:rsid w:val="00C021D1"/>
    <w:rsid w:val="00C12DF8"/>
    <w:rsid w:val="00C24DE6"/>
    <w:rsid w:val="00C25010"/>
    <w:rsid w:val="00C252B3"/>
    <w:rsid w:val="00C35652"/>
    <w:rsid w:val="00C36815"/>
    <w:rsid w:val="00C44533"/>
    <w:rsid w:val="00C45533"/>
    <w:rsid w:val="00C47534"/>
    <w:rsid w:val="00C5068B"/>
    <w:rsid w:val="00C63E26"/>
    <w:rsid w:val="00C64313"/>
    <w:rsid w:val="00C71368"/>
    <w:rsid w:val="00C76C5C"/>
    <w:rsid w:val="00C831D1"/>
    <w:rsid w:val="00C8429C"/>
    <w:rsid w:val="00C87424"/>
    <w:rsid w:val="00C87CBC"/>
    <w:rsid w:val="00C90BFC"/>
    <w:rsid w:val="00C9571A"/>
    <w:rsid w:val="00C97D63"/>
    <w:rsid w:val="00CB04EF"/>
    <w:rsid w:val="00CB054A"/>
    <w:rsid w:val="00CB2C7D"/>
    <w:rsid w:val="00CC7084"/>
    <w:rsid w:val="00CC7DA6"/>
    <w:rsid w:val="00CD01B9"/>
    <w:rsid w:val="00CD1A76"/>
    <w:rsid w:val="00CD3B52"/>
    <w:rsid w:val="00CD7846"/>
    <w:rsid w:val="00CE43FB"/>
    <w:rsid w:val="00CE4EC9"/>
    <w:rsid w:val="00CE63B0"/>
    <w:rsid w:val="00CF30EF"/>
    <w:rsid w:val="00D12EE2"/>
    <w:rsid w:val="00D13B53"/>
    <w:rsid w:val="00D14C00"/>
    <w:rsid w:val="00D160A6"/>
    <w:rsid w:val="00D17FFC"/>
    <w:rsid w:val="00D241E7"/>
    <w:rsid w:val="00D27AB9"/>
    <w:rsid w:val="00D33B6A"/>
    <w:rsid w:val="00D34D15"/>
    <w:rsid w:val="00D35229"/>
    <w:rsid w:val="00D35BD7"/>
    <w:rsid w:val="00D36446"/>
    <w:rsid w:val="00D37761"/>
    <w:rsid w:val="00D458B5"/>
    <w:rsid w:val="00D557D3"/>
    <w:rsid w:val="00D636E4"/>
    <w:rsid w:val="00D67E4D"/>
    <w:rsid w:val="00D70103"/>
    <w:rsid w:val="00D7327D"/>
    <w:rsid w:val="00D75A3F"/>
    <w:rsid w:val="00D80F51"/>
    <w:rsid w:val="00D81228"/>
    <w:rsid w:val="00D915AF"/>
    <w:rsid w:val="00D93095"/>
    <w:rsid w:val="00D94A7C"/>
    <w:rsid w:val="00DA3114"/>
    <w:rsid w:val="00DA5FFE"/>
    <w:rsid w:val="00DC53C8"/>
    <w:rsid w:val="00DC7438"/>
    <w:rsid w:val="00DD0D76"/>
    <w:rsid w:val="00DD330A"/>
    <w:rsid w:val="00DD37ED"/>
    <w:rsid w:val="00DD41CB"/>
    <w:rsid w:val="00DD44E3"/>
    <w:rsid w:val="00DD59E2"/>
    <w:rsid w:val="00DD6B36"/>
    <w:rsid w:val="00DD7428"/>
    <w:rsid w:val="00DE0FCB"/>
    <w:rsid w:val="00DE2D08"/>
    <w:rsid w:val="00DE4D36"/>
    <w:rsid w:val="00DE53F9"/>
    <w:rsid w:val="00DF1105"/>
    <w:rsid w:val="00E023DA"/>
    <w:rsid w:val="00E0358B"/>
    <w:rsid w:val="00E03790"/>
    <w:rsid w:val="00E06483"/>
    <w:rsid w:val="00E158BB"/>
    <w:rsid w:val="00E25451"/>
    <w:rsid w:val="00E25E09"/>
    <w:rsid w:val="00E3176D"/>
    <w:rsid w:val="00E32A35"/>
    <w:rsid w:val="00E33484"/>
    <w:rsid w:val="00E33BED"/>
    <w:rsid w:val="00E370BC"/>
    <w:rsid w:val="00E371CF"/>
    <w:rsid w:val="00E41F60"/>
    <w:rsid w:val="00E42308"/>
    <w:rsid w:val="00E43B7F"/>
    <w:rsid w:val="00E45784"/>
    <w:rsid w:val="00E52738"/>
    <w:rsid w:val="00E53ECF"/>
    <w:rsid w:val="00E5418B"/>
    <w:rsid w:val="00E6126B"/>
    <w:rsid w:val="00E65260"/>
    <w:rsid w:val="00E67D19"/>
    <w:rsid w:val="00E74A4E"/>
    <w:rsid w:val="00E759C2"/>
    <w:rsid w:val="00E75A2C"/>
    <w:rsid w:val="00E84A99"/>
    <w:rsid w:val="00E85DDC"/>
    <w:rsid w:val="00E85FDC"/>
    <w:rsid w:val="00E95049"/>
    <w:rsid w:val="00E9629F"/>
    <w:rsid w:val="00E96376"/>
    <w:rsid w:val="00EA18F6"/>
    <w:rsid w:val="00EA2EC1"/>
    <w:rsid w:val="00EB31EA"/>
    <w:rsid w:val="00EB5BC2"/>
    <w:rsid w:val="00EC13B9"/>
    <w:rsid w:val="00EC320E"/>
    <w:rsid w:val="00EC4D77"/>
    <w:rsid w:val="00EC5E13"/>
    <w:rsid w:val="00ED1AAC"/>
    <w:rsid w:val="00EE0A43"/>
    <w:rsid w:val="00EE1FFD"/>
    <w:rsid w:val="00EE78FC"/>
    <w:rsid w:val="00EF0E3F"/>
    <w:rsid w:val="00EF1118"/>
    <w:rsid w:val="00EF1619"/>
    <w:rsid w:val="00EF5B6C"/>
    <w:rsid w:val="00F01737"/>
    <w:rsid w:val="00F0328A"/>
    <w:rsid w:val="00F05846"/>
    <w:rsid w:val="00F11697"/>
    <w:rsid w:val="00F12BD7"/>
    <w:rsid w:val="00F16B9E"/>
    <w:rsid w:val="00F17C63"/>
    <w:rsid w:val="00F325C0"/>
    <w:rsid w:val="00F400CF"/>
    <w:rsid w:val="00F41294"/>
    <w:rsid w:val="00F44F7C"/>
    <w:rsid w:val="00F5092E"/>
    <w:rsid w:val="00F5208A"/>
    <w:rsid w:val="00F602F3"/>
    <w:rsid w:val="00F63311"/>
    <w:rsid w:val="00F6638D"/>
    <w:rsid w:val="00F67DEE"/>
    <w:rsid w:val="00F7401A"/>
    <w:rsid w:val="00F75A08"/>
    <w:rsid w:val="00F87EEA"/>
    <w:rsid w:val="00F94B59"/>
    <w:rsid w:val="00F97D4E"/>
    <w:rsid w:val="00FA063F"/>
    <w:rsid w:val="00FA0C87"/>
    <w:rsid w:val="00FA1B74"/>
    <w:rsid w:val="00FA201A"/>
    <w:rsid w:val="00FA32DB"/>
    <w:rsid w:val="00FA449B"/>
    <w:rsid w:val="00FA6819"/>
    <w:rsid w:val="00FB0419"/>
    <w:rsid w:val="00FB4CB9"/>
    <w:rsid w:val="00FB681A"/>
    <w:rsid w:val="00FC7686"/>
    <w:rsid w:val="00FD6FA4"/>
    <w:rsid w:val="00FE06FC"/>
    <w:rsid w:val="00FF1576"/>
    <w:rsid w:val="00FF300C"/>
    <w:rsid w:val="00FF5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E11E4"/>
  <w15:docId w15:val="{11E2E991-73A1-4213-9A2F-D199E973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C63"/>
  </w:style>
  <w:style w:type="paragraph" w:styleId="Ttulo8">
    <w:name w:val="heading 8"/>
    <w:basedOn w:val="Normal"/>
    <w:next w:val="Normal"/>
    <w:link w:val="Ttulo8Car"/>
    <w:unhideWhenUsed/>
    <w:qFormat/>
    <w:rsid w:val="00DD7428"/>
    <w:pPr>
      <w:spacing w:before="240" w:after="60"/>
      <w:outlineLvl w:val="7"/>
    </w:pPr>
    <w:rPr>
      <w:rFonts w:ascii="Times New Roman" w:eastAsia="Times New Roman" w:hAnsi="Times New Roman" w:cs="Times New Roman"/>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4DE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24DE6"/>
    <w:rPr>
      <w:rFonts w:ascii="Lucida Grande" w:hAnsi="Lucida Grande"/>
      <w:sz w:val="18"/>
      <w:szCs w:val="18"/>
    </w:rPr>
  </w:style>
  <w:style w:type="paragraph" w:styleId="Encabezado">
    <w:name w:val="header"/>
    <w:basedOn w:val="Normal"/>
    <w:link w:val="EncabezadoCar"/>
    <w:uiPriority w:val="99"/>
    <w:unhideWhenUsed/>
    <w:rsid w:val="00C24DE6"/>
    <w:pPr>
      <w:tabs>
        <w:tab w:val="center" w:pos="4320"/>
        <w:tab w:val="right" w:pos="8640"/>
      </w:tabs>
    </w:pPr>
  </w:style>
  <w:style w:type="character" w:customStyle="1" w:styleId="EncabezadoCar">
    <w:name w:val="Encabezado Car"/>
    <w:basedOn w:val="Fuentedeprrafopredeter"/>
    <w:link w:val="Encabezado"/>
    <w:uiPriority w:val="99"/>
    <w:rsid w:val="00C24DE6"/>
  </w:style>
  <w:style w:type="paragraph" w:styleId="Piedepgina">
    <w:name w:val="footer"/>
    <w:basedOn w:val="Normal"/>
    <w:link w:val="PiedepginaCar"/>
    <w:uiPriority w:val="99"/>
    <w:unhideWhenUsed/>
    <w:rsid w:val="00C24DE6"/>
    <w:pPr>
      <w:tabs>
        <w:tab w:val="center" w:pos="4320"/>
        <w:tab w:val="right" w:pos="8640"/>
      </w:tabs>
    </w:pPr>
  </w:style>
  <w:style w:type="character" w:customStyle="1" w:styleId="PiedepginaCar">
    <w:name w:val="Pie de página Car"/>
    <w:basedOn w:val="Fuentedeprrafopredeter"/>
    <w:link w:val="Piedepgina"/>
    <w:uiPriority w:val="99"/>
    <w:rsid w:val="00C24DE6"/>
  </w:style>
  <w:style w:type="character" w:customStyle="1" w:styleId="Ttulo8Car">
    <w:name w:val="Título 8 Car"/>
    <w:basedOn w:val="Fuentedeprrafopredeter"/>
    <w:link w:val="Ttulo8"/>
    <w:rsid w:val="00DD7428"/>
    <w:rPr>
      <w:rFonts w:ascii="Times New Roman" w:eastAsia="Times New Roman" w:hAnsi="Times New Roman" w:cs="Times New Roman"/>
      <w:i/>
      <w:iCs/>
      <w:lang w:val="es-ES"/>
    </w:rPr>
  </w:style>
  <w:style w:type="paragraph" w:styleId="Prrafodelista">
    <w:name w:val="List Paragraph"/>
    <w:basedOn w:val="Normal"/>
    <w:uiPriority w:val="34"/>
    <w:qFormat/>
    <w:rsid w:val="00AF6F62"/>
    <w:pPr>
      <w:ind w:left="720"/>
      <w:contextualSpacing/>
    </w:pPr>
  </w:style>
  <w:style w:type="table" w:styleId="Tablaconcuadrcula">
    <w:name w:val="Table Grid"/>
    <w:basedOn w:val="Tablanormal"/>
    <w:uiPriority w:val="59"/>
    <w:rsid w:val="006C4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770DC1"/>
    <w:rPr>
      <w:color w:val="0000FF"/>
      <w:u w:val="single"/>
    </w:rPr>
  </w:style>
  <w:style w:type="character" w:styleId="Hipervnculovisitado">
    <w:name w:val="FollowedHyperlink"/>
    <w:basedOn w:val="Fuentedeprrafopredeter"/>
    <w:uiPriority w:val="99"/>
    <w:semiHidden/>
    <w:unhideWhenUsed/>
    <w:rsid w:val="00770DC1"/>
    <w:rPr>
      <w:color w:val="800080"/>
      <w:u w:val="single"/>
    </w:rPr>
  </w:style>
  <w:style w:type="paragraph" w:customStyle="1" w:styleId="msonormal0">
    <w:name w:val="msonormal"/>
    <w:basedOn w:val="Normal"/>
    <w:rsid w:val="00770DC1"/>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770DC1"/>
    <w:pPr>
      <w:spacing w:before="100" w:beforeAutospacing="1" w:after="100" w:afterAutospacing="1"/>
    </w:pPr>
    <w:rPr>
      <w:rFonts w:ascii="Tahoma" w:eastAsia="Times New Roman" w:hAnsi="Tahoma" w:cs="Tahoma"/>
      <w:color w:val="000000"/>
      <w:lang w:val="es-MX" w:eastAsia="es-MX"/>
    </w:rPr>
  </w:style>
  <w:style w:type="paragraph" w:customStyle="1" w:styleId="xl68">
    <w:name w:val="xl68"/>
    <w:basedOn w:val="Normal"/>
    <w:rsid w:val="00770DC1"/>
    <w:pPr>
      <w:shd w:val="clear" w:color="000000" w:fill="FFFFFF"/>
      <w:spacing w:before="100" w:beforeAutospacing="1" w:after="100" w:afterAutospacing="1"/>
    </w:pPr>
    <w:rPr>
      <w:rFonts w:ascii="Tahoma" w:eastAsia="Times New Roman" w:hAnsi="Tahoma" w:cs="Tahoma"/>
      <w:color w:val="000000"/>
      <w:lang w:val="es-MX" w:eastAsia="es-MX"/>
    </w:rPr>
  </w:style>
  <w:style w:type="paragraph" w:customStyle="1" w:styleId="xl69">
    <w:name w:val="xl69"/>
    <w:basedOn w:val="Normal"/>
    <w:rsid w:val="00770DC1"/>
    <w:pPr>
      <w:spacing w:before="100" w:beforeAutospacing="1" w:after="100" w:afterAutospacing="1"/>
    </w:pPr>
    <w:rPr>
      <w:rFonts w:ascii="Tahoma" w:eastAsia="Times New Roman" w:hAnsi="Tahoma" w:cs="Tahoma"/>
      <w:color w:val="000000"/>
      <w:lang w:val="es-MX" w:eastAsia="es-MX"/>
    </w:rPr>
  </w:style>
  <w:style w:type="paragraph" w:customStyle="1" w:styleId="xl70">
    <w:name w:val="xl70"/>
    <w:basedOn w:val="Normal"/>
    <w:rsid w:val="00770DC1"/>
    <w:pPr>
      <w:pBdr>
        <w:top w:val="single" w:sz="12" w:space="0" w:color="000000"/>
        <w:left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1">
    <w:name w:val="xl71"/>
    <w:basedOn w:val="Normal"/>
    <w:rsid w:val="00770DC1"/>
    <w:pPr>
      <w:pBdr>
        <w:top w:val="single" w:sz="12" w:space="0" w:color="000000"/>
        <w:right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2">
    <w:name w:val="xl72"/>
    <w:basedOn w:val="Normal"/>
    <w:rsid w:val="00770DC1"/>
    <w:pPr>
      <w:pBdr>
        <w:left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3">
    <w:name w:val="xl73"/>
    <w:basedOn w:val="Normal"/>
    <w:rsid w:val="00770DC1"/>
    <w:pPr>
      <w:pBdr>
        <w:right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4">
    <w:name w:val="xl74"/>
    <w:basedOn w:val="Normal"/>
    <w:rsid w:val="00770DC1"/>
    <w:pPr>
      <w:pBdr>
        <w:left w:val="single" w:sz="12" w:space="0" w:color="000000"/>
        <w:bottom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5">
    <w:name w:val="xl75"/>
    <w:basedOn w:val="Normal"/>
    <w:rsid w:val="00770DC1"/>
    <w:pPr>
      <w:pBdr>
        <w:bottom w:val="single" w:sz="12" w:space="0" w:color="000000"/>
      </w:pBdr>
      <w:shd w:val="clear" w:color="000000" w:fill="FFFFFF"/>
      <w:spacing w:before="100" w:beforeAutospacing="1" w:after="100" w:afterAutospacing="1"/>
    </w:pPr>
    <w:rPr>
      <w:rFonts w:ascii="Tahoma" w:eastAsia="Times New Roman" w:hAnsi="Tahoma" w:cs="Tahoma"/>
      <w:color w:val="000000"/>
      <w:lang w:val="es-MX" w:eastAsia="es-MX"/>
    </w:rPr>
  </w:style>
  <w:style w:type="paragraph" w:customStyle="1" w:styleId="xl76">
    <w:name w:val="xl76"/>
    <w:basedOn w:val="Normal"/>
    <w:rsid w:val="00770DC1"/>
    <w:pPr>
      <w:pBdr>
        <w:bottom w:val="single" w:sz="12" w:space="0" w:color="000000"/>
        <w:right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7">
    <w:name w:val="xl77"/>
    <w:basedOn w:val="Normal"/>
    <w:rsid w:val="00770DC1"/>
    <w:pPr>
      <w:pBdr>
        <w:bottom w:val="single" w:sz="12" w:space="0" w:color="000000"/>
      </w:pBdr>
      <w:spacing w:before="100" w:beforeAutospacing="1" w:after="100" w:afterAutospacing="1"/>
    </w:pPr>
    <w:rPr>
      <w:rFonts w:ascii="Tahoma" w:eastAsia="Times New Roman" w:hAnsi="Tahoma" w:cs="Tahoma"/>
      <w:color w:val="000000"/>
      <w:lang w:val="es-MX" w:eastAsia="es-MX"/>
    </w:rPr>
  </w:style>
  <w:style w:type="paragraph" w:customStyle="1" w:styleId="xl78">
    <w:name w:val="xl78"/>
    <w:basedOn w:val="Normal"/>
    <w:rsid w:val="00770DC1"/>
    <w:pP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79">
    <w:name w:val="xl79"/>
    <w:basedOn w:val="Normal"/>
    <w:rsid w:val="00770DC1"/>
    <w:pPr>
      <w:spacing w:before="100" w:beforeAutospacing="1" w:after="100" w:afterAutospacing="1"/>
    </w:pPr>
    <w:rPr>
      <w:rFonts w:ascii="Arial" w:eastAsia="Times New Roman" w:hAnsi="Arial" w:cs="Arial"/>
      <w:sz w:val="16"/>
      <w:szCs w:val="16"/>
      <w:lang w:val="es-MX" w:eastAsia="es-MX"/>
    </w:rPr>
  </w:style>
  <w:style w:type="paragraph" w:customStyle="1" w:styleId="xl80">
    <w:name w:val="xl80"/>
    <w:basedOn w:val="Normal"/>
    <w:rsid w:val="00770DC1"/>
    <w:pPr>
      <w:spacing w:before="100" w:beforeAutospacing="1" w:after="100" w:afterAutospacing="1"/>
      <w:jc w:val="right"/>
      <w:textAlignment w:val="center"/>
    </w:pPr>
    <w:rPr>
      <w:rFonts w:ascii="Arial" w:eastAsia="Times New Roman" w:hAnsi="Arial" w:cs="Arial"/>
      <w:b/>
      <w:bCs/>
      <w:sz w:val="12"/>
      <w:szCs w:val="12"/>
      <w:lang w:val="es-MX" w:eastAsia="es-MX"/>
    </w:rPr>
  </w:style>
  <w:style w:type="paragraph" w:customStyle="1" w:styleId="xl81">
    <w:name w:val="xl81"/>
    <w:basedOn w:val="Normal"/>
    <w:rsid w:val="00770DC1"/>
    <w:pPr>
      <w:spacing w:before="100" w:beforeAutospacing="1" w:after="100" w:afterAutospacing="1"/>
      <w:jc w:val="right"/>
    </w:pPr>
    <w:rPr>
      <w:rFonts w:ascii="Arial" w:eastAsia="Times New Roman" w:hAnsi="Arial" w:cs="Arial"/>
      <w:sz w:val="12"/>
      <w:szCs w:val="12"/>
      <w:lang w:val="es-MX" w:eastAsia="es-MX"/>
    </w:rPr>
  </w:style>
  <w:style w:type="paragraph" w:customStyle="1" w:styleId="xl82">
    <w:name w:val="xl82"/>
    <w:basedOn w:val="Normal"/>
    <w:rsid w:val="00770DC1"/>
    <w:pPr>
      <w:spacing w:before="100" w:beforeAutospacing="1" w:after="100" w:afterAutospacing="1"/>
      <w:jc w:val="right"/>
    </w:pPr>
    <w:rPr>
      <w:rFonts w:ascii="Arial" w:eastAsia="Times New Roman" w:hAnsi="Arial" w:cs="Arial"/>
      <w:sz w:val="12"/>
      <w:szCs w:val="12"/>
      <w:lang w:val="es-MX" w:eastAsia="es-MX"/>
    </w:rPr>
  </w:style>
  <w:style w:type="paragraph" w:customStyle="1" w:styleId="xl83">
    <w:name w:val="xl83"/>
    <w:basedOn w:val="Normal"/>
    <w:rsid w:val="00770DC1"/>
    <w:pPr>
      <w:pBdr>
        <w:top w:val="double" w:sz="6" w:space="0" w:color="800000"/>
        <w:left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84">
    <w:name w:val="xl84"/>
    <w:basedOn w:val="Normal"/>
    <w:rsid w:val="00770DC1"/>
    <w:pPr>
      <w:pBdr>
        <w:top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85">
    <w:name w:val="xl85"/>
    <w:basedOn w:val="Normal"/>
    <w:rsid w:val="00770DC1"/>
    <w:pPr>
      <w:pBdr>
        <w:top w:val="double" w:sz="6" w:space="0" w:color="800000"/>
        <w:right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86">
    <w:name w:val="xl86"/>
    <w:basedOn w:val="Normal"/>
    <w:rsid w:val="00770DC1"/>
    <w:pPr>
      <w:pBdr>
        <w:left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87">
    <w:name w:val="xl87"/>
    <w:basedOn w:val="Normal"/>
    <w:rsid w:val="00770DC1"/>
    <w:pPr>
      <w:pBdr>
        <w:top w:val="double" w:sz="6" w:space="0" w:color="auto"/>
        <w:left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88">
    <w:name w:val="xl88"/>
    <w:basedOn w:val="Normal"/>
    <w:rsid w:val="00770DC1"/>
    <w:pPr>
      <w:pBdr>
        <w:top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89">
    <w:name w:val="xl89"/>
    <w:basedOn w:val="Normal"/>
    <w:rsid w:val="00770DC1"/>
    <w:pPr>
      <w:pBdr>
        <w:top w:val="double" w:sz="6" w:space="0" w:color="auto"/>
        <w:right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90">
    <w:name w:val="xl90"/>
    <w:basedOn w:val="Normal"/>
    <w:rsid w:val="00770DC1"/>
    <w:pPr>
      <w:pBdr>
        <w:right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91">
    <w:name w:val="xl91"/>
    <w:basedOn w:val="Normal"/>
    <w:rsid w:val="00770DC1"/>
    <w:pPr>
      <w:pBdr>
        <w:left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92">
    <w:name w:val="xl92"/>
    <w:basedOn w:val="Normal"/>
    <w:rsid w:val="00770DC1"/>
    <w:pPr>
      <w:pBdr>
        <w:right w:val="double" w:sz="6" w:space="0" w:color="auto"/>
      </w:pBdr>
      <w:spacing w:before="100" w:beforeAutospacing="1" w:after="100" w:afterAutospacing="1"/>
      <w:jc w:val="center"/>
    </w:pPr>
    <w:rPr>
      <w:rFonts w:ascii="Tahoma" w:eastAsia="Times New Roman" w:hAnsi="Tahoma" w:cs="Tahoma"/>
      <w:b/>
      <w:bCs/>
      <w:color w:val="000000"/>
      <w:lang w:val="es-MX" w:eastAsia="es-MX"/>
    </w:rPr>
  </w:style>
  <w:style w:type="paragraph" w:customStyle="1" w:styleId="xl93">
    <w:name w:val="xl93"/>
    <w:basedOn w:val="Normal"/>
    <w:rsid w:val="00770DC1"/>
    <w:pPr>
      <w:pBdr>
        <w:right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94">
    <w:name w:val="xl94"/>
    <w:basedOn w:val="Normal"/>
    <w:rsid w:val="00770DC1"/>
    <w:pPr>
      <w:spacing w:before="100" w:beforeAutospacing="1" w:after="100" w:afterAutospacing="1"/>
    </w:pPr>
    <w:rPr>
      <w:rFonts w:ascii="Tahoma" w:eastAsia="Times New Roman" w:hAnsi="Tahoma" w:cs="Tahoma"/>
      <w:b/>
      <w:bCs/>
      <w:color w:val="000000"/>
      <w:lang w:val="es-MX" w:eastAsia="es-MX"/>
    </w:rPr>
  </w:style>
  <w:style w:type="paragraph" w:customStyle="1" w:styleId="xl95">
    <w:name w:val="xl95"/>
    <w:basedOn w:val="Normal"/>
    <w:rsid w:val="00770DC1"/>
    <w:pPr>
      <w:spacing w:before="100" w:beforeAutospacing="1" w:after="100" w:afterAutospacing="1"/>
      <w:jc w:val="center"/>
    </w:pPr>
    <w:rPr>
      <w:rFonts w:ascii="Tahoma" w:eastAsia="Times New Roman" w:hAnsi="Tahoma" w:cs="Tahoma"/>
      <w:b/>
      <w:bCs/>
      <w:color w:val="000000"/>
      <w:lang w:val="es-MX" w:eastAsia="es-MX"/>
    </w:rPr>
  </w:style>
  <w:style w:type="paragraph" w:customStyle="1" w:styleId="xl96">
    <w:name w:val="xl96"/>
    <w:basedOn w:val="Normal"/>
    <w:rsid w:val="00770DC1"/>
    <w:pPr>
      <w:spacing w:before="100" w:beforeAutospacing="1" w:after="100" w:afterAutospacing="1"/>
    </w:pPr>
    <w:rPr>
      <w:rFonts w:ascii="Tahoma" w:eastAsia="Times New Roman" w:hAnsi="Tahoma" w:cs="Tahoma"/>
      <w:color w:val="000000"/>
      <w:sz w:val="16"/>
      <w:szCs w:val="16"/>
      <w:u w:val="single"/>
      <w:lang w:val="es-MX" w:eastAsia="es-MX"/>
    </w:rPr>
  </w:style>
  <w:style w:type="paragraph" w:customStyle="1" w:styleId="xl97">
    <w:name w:val="xl97"/>
    <w:basedOn w:val="Normal"/>
    <w:rsid w:val="00770DC1"/>
    <w:pPr>
      <w:spacing w:before="100" w:beforeAutospacing="1" w:after="100" w:afterAutospacing="1"/>
      <w:jc w:val="center"/>
    </w:pPr>
    <w:rPr>
      <w:rFonts w:ascii="Tahoma" w:eastAsia="Times New Roman" w:hAnsi="Tahoma" w:cs="Tahoma"/>
      <w:color w:val="000000"/>
      <w:sz w:val="16"/>
      <w:szCs w:val="16"/>
      <w:u w:val="single"/>
      <w:lang w:val="es-MX" w:eastAsia="es-MX"/>
    </w:rPr>
  </w:style>
  <w:style w:type="paragraph" w:customStyle="1" w:styleId="xl98">
    <w:name w:val="xl98"/>
    <w:basedOn w:val="Normal"/>
    <w:rsid w:val="00770DC1"/>
    <w:pPr>
      <w:spacing w:before="100" w:beforeAutospacing="1" w:after="100" w:afterAutospacing="1"/>
      <w:jc w:val="center"/>
    </w:pPr>
    <w:rPr>
      <w:rFonts w:ascii="Tahoma" w:eastAsia="Times New Roman" w:hAnsi="Tahoma" w:cs="Tahoma"/>
      <w:b/>
      <w:bCs/>
      <w:sz w:val="16"/>
      <w:szCs w:val="16"/>
      <w:lang w:val="es-MX" w:eastAsia="es-MX"/>
    </w:rPr>
  </w:style>
  <w:style w:type="paragraph" w:customStyle="1" w:styleId="xl99">
    <w:name w:val="xl99"/>
    <w:basedOn w:val="Normal"/>
    <w:rsid w:val="00770DC1"/>
    <w:pPr>
      <w:pBdr>
        <w:bottom w:val="single" w:sz="4" w:space="0" w:color="auto"/>
      </w:pBdr>
      <w:spacing w:before="100" w:beforeAutospacing="1" w:after="100" w:afterAutospacing="1"/>
      <w:jc w:val="center"/>
    </w:pPr>
    <w:rPr>
      <w:rFonts w:ascii="Tahoma" w:eastAsia="Times New Roman" w:hAnsi="Tahoma" w:cs="Tahoma"/>
      <w:color w:val="000000"/>
      <w:lang w:val="es-MX" w:eastAsia="es-MX"/>
    </w:rPr>
  </w:style>
  <w:style w:type="paragraph" w:customStyle="1" w:styleId="xl100">
    <w:name w:val="xl100"/>
    <w:basedOn w:val="Normal"/>
    <w:rsid w:val="00770DC1"/>
    <w:pPr>
      <w:spacing w:before="100" w:beforeAutospacing="1" w:after="100" w:afterAutospacing="1"/>
      <w:jc w:val="center"/>
    </w:pPr>
    <w:rPr>
      <w:rFonts w:ascii="Tahoma" w:eastAsia="Times New Roman" w:hAnsi="Tahoma" w:cs="Tahoma"/>
      <w:b/>
      <w:bCs/>
      <w:lang w:val="es-MX" w:eastAsia="es-MX"/>
    </w:rPr>
  </w:style>
  <w:style w:type="paragraph" w:customStyle="1" w:styleId="xl101">
    <w:name w:val="xl101"/>
    <w:basedOn w:val="Normal"/>
    <w:rsid w:val="00770DC1"/>
    <w:pPr>
      <w:spacing w:before="100" w:beforeAutospacing="1" w:after="100" w:afterAutospacing="1"/>
    </w:pPr>
    <w:rPr>
      <w:rFonts w:ascii="Tahoma" w:eastAsia="Times New Roman" w:hAnsi="Tahoma" w:cs="Tahoma"/>
      <w:b/>
      <w:bCs/>
      <w:color w:val="000000"/>
      <w:sz w:val="16"/>
      <w:szCs w:val="16"/>
      <w:lang w:val="es-MX" w:eastAsia="es-MX"/>
    </w:rPr>
  </w:style>
  <w:style w:type="paragraph" w:customStyle="1" w:styleId="xl102">
    <w:name w:val="xl102"/>
    <w:basedOn w:val="Normal"/>
    <w:rsid w:val="00770DC1"/>
    <w:pPr>
      <w:spacing w:before="100" w:beforeAutospacing="1" w:after="100" w:afterAutospacing="1"/>
    </w:pPr>
    <w:rPr>
      <w:rFonts w:ascii="Tahoma" w:eastAsia="Times New Roman" w:hAnsi="Tahoma" w:cs="Tahoma"/>
      <w:color w:val="000000"/>
      <w:sz w:val="14"/>
      <w:szCs w:val="14"/>
      <w:lang w:val="es-MX" w:eastAsia="es-MX"/>
    </w:rPr>
  </w:style>
  <w:style w:type="paragraph" w:customStyle="1" w:styleId="xl103">
    <w:name w:val="xl103"/>
    <w:basedOn w:val="Normal"/>
    <w:rsid w:val="00770DC1"/>
    <w:pPr>
      <w:pBdr>
        <w:left w:val="double" w:sz="6" w:space="0" w:color="auto"/>
        <w:bottom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104">
    <w:name w:val="xl104"/>
    <w:basedOn w:val="Normal"/>
    <w:rsid w:val="00770DC1"/>
    <w:pPr>
      <w:pBdr>
        <w:bottom w:val="double" w:sz="6" w:space="0" w:color="auto"/>
      </w:pBdr>
      <w:spacing w:before="100" w:beforeAutospacing="1" w:after="100" w:afterAutospacing="1"/>
    </w:pPr>
    <w:rPr>
      <w:rFonts w:ascii="Tahoma" w:eastAsia="Times New Roman" w:hAnsi="Tahoma" w:cs="Tahoma"/>
      <w:color w:val="000000"/>
      <w:sz w:val="14"/>
      <w:szCs w:val="14"/>
      <w:lang w:val="es-MX" w:eastAsia="es-MX"/>
    </w:rPr>
  </w:style>
  <w:style w:type="paragraph" w:customStyle="1" w:styleId="xl105">
    <w:name w:val="xl105"/>
    <w:basedOn w:val="Normal"/>
    <w:rsid w:val="00770DC1"/>
    <w:pPr>
      <w:pBdr>
        <w:bottom w:val="double" w:sz="6" w:space="0" w:color="auto"/>
        <w:right w:val="double" w:sz="6" w:space="0" w:color="auto"/>
      </w:pBdr>
      <w:spacing w:before="100" w:beforeAutospacing="1" w:after="100" w:afterAutospacing="1"/>
    </w:pPr>
    <w:rPr>
      <w:rFonts w:ascii="Tahoma" w:eastAsia="Times New Roman" w:hAnsi="Tahoma" w:cs="Tahoma"/>
      <w:color w:val="000000"/>
      <w:lang w:val="es-MX" w:eastAsia="es-MX"/>
    </w:rPr>
  </w:style>
  <w:style w:type="paragraph" w:customStyle="1" w:styleId="xl106">
    <w:name w:val="xl106"/>
    <w:basedOn w:val="Normal"/>
    <w:rsid w:val="00770DC1"/>
    <w:pPr>
      <w:pBdr>
        <w:left w:val="double" w:sz="6" w:space="0" w:color="800000"/>
        <w:bottom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107">
    <w:name w:val="xl107"/>
    <w:basedOn w:val="Normal"/>
    <w:rsid w:val="00770DC1"/>
    <w:pPr>
      <w:pBdr>
        <w:bottom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108">
    <w:name w:val="xl108"/>
    <w:basedOn w:val="Normal"/>
    <w:rsid w:val="00770DC1"/>
    <w:pPr>
      <w:pBdr>
        <w:bottom w:val="double" w:sz="6" w:space="0" w:color="800000"/>
        <w:right w:val="double" w:sz="6" w:space="0" w:color="800000"/>
      </w:pBdr>
      <w:spacing w:before="100" w:beforeAutospacing="1" w:after="100" w:afterAutospacing="1"/>
    </w:pPr>
    <w:rPr>
      <w:rFonts w:ascii="Tahoma" w:eastAsia="Times New Roman" w:hAnsi="Tahoma" w:cs="Tahoma"/>
      <w:color w:val="000000"/>
      <w:lang w:val="es-MX" w:eastAsia="es-MX"/>
    </w:rPr>
  </w:style>
  <w:style w:type="paragraph" w:customStyle="1" w:styleId="xl109">
    <w:name w:val="xl109"/>
    <w:basedOn w:val="Normal"/>
    <w:rsid w:val="00770DC1"/>
    <w:pPr>
      <w:spacing w:before="100" w:beforeAutospacing="1" w:after="100" w:afterAutospacing="1"/>
    </w:pPr>
    <w:rPr>
      <w:rFonts w:ascii="Tahoma" w:eastAsia="Times New Roman" w:hAnsi="Tahoma" w:cs="Tahoma"/>
      <w:color w:val="800000"/>
      <w:lang w:val="es-MX" w:eastAsia="es-MX"/>
    </w:rPr>
  </w:style>
  <w:style w:type="paragraph" w:customStyle="1" w:styleId="xl110">
    <w:name w:val="xl110"/>
    <w:basedOn w:val="Normal"/>
    <w:rsid w:val="00770DC1"/>
    <w:pPr>
      <w:spacing w:before="100" w:beforeAutospacing="1" w:after="100" w:afterAutospacing="1"/>
      <w:jc w:val="center"/>
    </w:pPr>
    <w:rPr>
      <w:rFonts w:ascii="Tahoma" w:eastAsia="Times New Roman" w:hAnsi="Tahoma" w:cs="Tahoma"/>
      <w:b/>
      <w:bCs/>
      <w:color w:val="000000"/>
      <w:sz w:val="16"/>
      <w:szCs w:val="16"/>
      <w:lang w:val="es-MX" w:eastAsia="es-MX"/>
    </w:rPr>
  </w:style>
  <w:style w:type="paragraph" w:customStyle="1" w:styleId="xl111">
    <w:name w:val="xl111"/>
    <w:basedOn w:val="Normal"/>
    <w:rsid w:val="00770DC1"/>
    <w:pPr>
      <w:pBdr>
        <w:top w:val="double" w:sz="6" w:space="0" w:color="auto"/>
        <w:left w:val="double" w:sz="6" w:space="0" w:color="auto"/>
        <w:bottom w:val="double" w:sz="6" w:space="0" w:color="auto"/>
        <w:right w:val="double" w:sz="6" w:space="0" w:color="auto"/>
      </w:pBdr>
      <w:shd w:val="clear" w:color="000000" w:fill="B8CCE4"/>
      <w:spacing w:before="100" w:beforeAutospacing="1" w:after="100" w:afterAutospacing="1"/>
      <w:jc w:val="center"/>
    </w:pPr>
    <w:rPr>
      <w:rFonts w:ascii="Tahoma" w:eastAsia="Times New Roman" w:hAnsi="Tahoma" w:cs="Tahoma"/>
      <w:b/>
      <w:bCs/>
      <w:color w:val="002060"/>
      <w:lang w:val="es-MX" w:eastAsia="es-MX"/>
    </w:rPr>
  </w:style>
  <w:style w:type="paragraph" w:customStyle="1" w:styleId="xl112">
    <w:name w:val="xl112"/>
    <w:basedOn w:val="Normal"/>
    <w:rsid w:val="00770DC1"/>
    <w:pPr>
      <w:pBdr>
        <w:top w:val="double" w:sz="6" w:space="0" w:color="auto"/>
        <w:left w:val="double" w:sz="6" w:space="0" w:color="auto"/>
        <w:bottom w:val="double" w:sz="6" w:space="0" w:color="auto"/>
        <w:right w:val="double" w:sz="6" w:space="0" w:color="auto"/>
      </w:pBdr>
      <w:shd w:val="clear" w:color="000000" w:fill="B8CCE4"/>
      <w:spacing w:before="100" w:beforeAutospacing="1" w:after="100" w:afterAutospacing="1"/>
      <w:jc w:val="center"/>
    </w:pPr>
    <w:rPr>
      <w:rFonts w:ascii="Tahoma" w:eastAsia="Times New Roman" w:hAnsi="Tahoma" w:cs="Tahoma"/>
      <w:b/>
      <w:bCs/>
      <w:color w:val="002060"/>
      <w:lang w:val="es-MX" w:eastAsia="es-MX"/>
    </w:rPr>
  </w:style>
  <w:style w:type="paragraph" w:customStyle="1" w:styleId="xl113">
    <w:name w:val="xl113"/>
    <w:basedOn w:val="Normal"/>
    <w:rsid w:val="00770DC1"/>
    <w:pPr>
      <w:pBdr>
        <w:top w:val="double" w:sz="6" w:space="0" w:color="auto"/>
        <w:left w:val="double" w:sz="6" w:space="0" w:color="auto"/>
        <w:bottom w:val="double" w:sz="6" w:space="0" w:color="auto"/>
        <w:right w:val="double" w:sz="6" w:space="0" w:color="auto"/>
      </w:pBdr>
      <w:shd w:val="clear" w:color="000000" w:fill="B8CCE4"/>
      <w:spacing w:before="100" w:beforeAutospacing="1" w:after="100" w:afterAutospacing="1"/>
      <w:jc w:val="center"/>
    </w:pPr>
    <w:rPr>
      <w:rFonts w:ascii="Tahoma" w:eastAsia="Times New Roman" w:hAnsi="Tahoma" w:cs="Tahoma"/>
      <w:b/>
      <w:bCs/>
      <w:color w:val="002060"/>
      <w:lang w:val="es-MX" w:eastAsia="es-MX"/>
    </w:rPr>
  </w:style>
  <w:style w:type="paragraph" w:customStyle="1" w:styleId="xl114">
    <w:name w:val="xl114"/>
    <w:basedOn w:val="Normal"/>
    <w:rsid w:val="00770DC1"/>
    <w:pPr>
      <w:pBdr>
        <w:top w:val="double" w:sz="6" w:space="0" w:color="auto"/>
        <w:left w:val="double" w:sz="6" w:space="0" w:color="auto"/>
        <w:bottom w:val="double" w:sz="6" w:space="0" w:color="auto"/>
        <w:right w:val="double" w:sz="6" w:space="0" w:color="auto"/>
      </w:pBdr>
      <w:shd w:val="clear" w:color="000000" w:fill="B8CCE4"/>
      <w:spacing w:before="100" w:beforeAutospacing="1" w:after="100" w:afterAutospacing="1"/>
      <w:jc w:val="center"/>
      <w:textAlignment w:val="center"/>
    </w:pPr>
    <w:rPr>
      <w:rFonts w:ascii="Tahoma" w:eastAsia="Times New Roman" w:hAnsi="Tahoma" w:cs="Tahoma"/>
      <w:b/>
      <w:bCs/>
      <w:color w:val="002060"/>
      <w:sz w:val="18"/>
      <w:szCs w:val="18"/>
      <w:lang w:val="es-MX" w:eastAsia="es-MX"/>
    </w:rPr>
  </w:style>
  <w:style w:type="paragraph" w:customStyle="1" w:styleId="xl115">
    <w:name w:val="xl115"/>
    <w:basedOn w:val="Normal"/>
    <w:rsid w:val="00770DC1"/>
    <w:pPr>
      <w:pBdr>
        <w:top w:val="double" w:sz="6" w:space="0" w:color="auto"/>
        <w:left w:val="double" w:sz="6" w:space="0" w:color="auto"/>
        <w:bottom w:val="double" w:sz="6" w:space="0" w:color="auto"/>
        <w:right w:val="double" w:sz="6" w:space="0" w:color="auto"/>
      </w:pBdr>
      <w:shd w:val="clear" w:color="000000" w:fill="B8CCE4"/>
      <w:spacing w:before="100" w:beforeAutospacing="1" w:after="100" w:afterAutospacing="1"/>
      <w:jc w:val="center"/>
    </w:pPr>
    <w:rPr>
      <w:rFonts w:ascii="Tahoma" w:eastAsia="Times New Roman" w:hAnsi="Tahoma" w:cs="Tahoma"/>
      <w:b/>
      <w:bCs/>
      <w:color w:val="002060"/>
      <w:sz w:val="16"/>
      <w:szCs w:val="16"/>
      <w:lang w:val="es-MX" w:eastAsia="es-MX"/>
    </w:rPr>
  </w:style>
  <w:style w:type="paragraph" w:customStyle="1" w:styleId="xl116">
    <w:name w:val="xl116"/>
    <w:basedOn w:val="Normal"/>
    <w:rsid w:val="00770DC1"/>
    <w:pPr>
      <w:pBdr>
        <w:top w:val="double" w:sz="6" w:space="0" w:color="auto"/>
        <w:left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17">
    <w:name w:val="xl117"/>
    <w:basedOn w:val="Normal"/>
    <w:rsid w:val="00770DC1"/>
    <w:pPr>
      <w:pBdr>
        <w:top w:val="double" w:sz="6" w:space="0" w:color="auto"/>
        <w:right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18">
    <w:name w:val="xl118"/>
    <w:basedOn w:val="Normal"/>
    <w:rsid w:val="00770DC1"/>
    <w:pPr>
      <w:pBdr>
        <w:left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19">
    <w:name w:val="xl119"/>
    <w:basedOn w:val="Normal"/>
    <w:rsid w:val="00770DC1"/>
    <w:pPr>
      <w:pBdr>
        <w:right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20">
    <w:name w:val="xl120"/>
    <w:basedOn w:val="Normal"/>
    <w:rsid w:val="00770DC1"/>
    <w:pPr>
      <w:pBdr>
        <w:left w:val="double" w:sz="6" w:space="0" w:color="auto"/>
        <w:bottom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21">
    <w:name w:val="xl121"/>
    <w:basedOn w:val="Normal"/>
    <w:rsid w:val="00770DC1"/>
    <w:pPr>
      <w:pBdr>
        <w:bottom w:val="double" w:sz="6" w:space="0" w:color="auto"/>
        <w:right w:val="double" w:sz="6" w:space="0" w:color="auto"/>
      </w:pBdr>
      <w:spacing w:before="100" w:beforeAutospacing="1" w:after="100" w:afterAutospacing="1"/>
      <w:jc w:val="both"/>
      <w:textAlignment w:val="top"/>
    </w:pPr>
    <w:rPr>
      <w:rFonts w:ascii="Tahoma" w:eastAsia="Times New Roman" w:hAnsi="Tahoma" w:cs="Tahoma"/>
      <w:color w:val="000000"/>
      <w:lang w:val="es-MX" w:eastAsia="es-MX"/>
    </w:rPr>
  </w:style>
  <w:style w:type="paragraph" w:customStyle="1" w:styleId="xl122">
    <w:name w:val="xl122"/>
    <w:basedOn w:val="Normal"/>
    <w:rsid w:val="00770DC1"/>
    <w:pPr>
      <w:pBdr>
        <w:top w:val="single" w:sz="12" w:space="0" w:color="000000"/>
      </w:pBdr>
      <w:shd w:val="clear" w:color="000000" w:fill="FFFFFF"/>
      <w:spacing w:before="100" w:beforeAutospacing="1" w:after="100" w:afterAutospacing="1"/>
      <w:jc w:val="center"/>
    </w:pPr>
    <w:rPr>
      <w:rFonts w:ascii="Tahoma" w:eastAsia="Times New Roman" w:hAnsi="Tahoma" w:cs="Tahoma"/>
      <w:b/>
      <w:bCs/>
      <w:color w:val="800000"/>
      <w:lang w:val="es-MX" w:eastAsia="es-MX"/>
    </w:rPr>
  </w:style>
  <w:style w:type="paragraph" w:customStyle="1" w:styleId="xl123">
    <w:name w:val="xl123"/>
    <w:basedOn w:val="Normal"/>
    <w:rsid w:val="00770DC1"/>
    <w:pPr>
      <w:shd w:val="clear" w:color="000000" w:fill="FFFFFF"/>
      <w:spacing w:before="100" w:beforeAutospacing="1" w:after="100" w:afterAutospacing="1"/>
      <w:jc w:val="center"/>
    </w:pPr>
    <w:rPr>
      <w:rFonts w:ascii="Tahoma" w:eastAsia="Times New Roman" w:hAnsi="Tahoma" w:cs="Tahoma"/>
      <w:b/>
      <w:bCs/>
      <w:color w:val="800000"/>
      <w:lang w:val="es-MX" w:eastAsia="es-MX"/>
    </w:rPr>
  </w:style>
  <w:style w:type="paragraph" w:customStyle="1" w:styleId="xl124">
    <w:name w:val="xl124"/>
    <w:basedOn w:val="Normal"/>
    <w:rsid w:val="00770DC1"/>
    <w:pPr>
      <w:pBdr>
        <w:top w:val="double" w:sz="6" w:space="0" w:color="000000"/>
        <w:left w:val="double" w:sz="6" w:space="0" w:color="000000"/>
        <w:bottom w:val="double" w:sz="6" w:space="0" w:color="000000"/>
      </w:pBdr>
      <w:shd w:val="clear" w:color="000000" w:fill="B8CCE4"/>
      <w:spacing w:before="100" w:beforeAutospacing="1" w:after="100" w:afterAutospacing="1"/>
      <w:jc w:val="center"/>
    </w:pPr>
    <w:rPr>
      <w:rFonts w:ascii="Tahoma" w:eastAsia="Times New Roman" w:hAnsi="Tahoma" w:cs="Tahoma"/>
      <w:b/>
      <w:bCs/>
      <w:color w:val="002060"/>
      <w:sz w:val="22"/>
      <w:szCs w:val="22"/>
      <w:lang w:val="es-MX" w:eastAsia="es-MX"/>
    </w:rPr>
  </w:style>
  <w:style w:type="paragraph" w:customStyle="1" w:styleId="xl125">
    <w:name w:val="xl125"/>
    <w:basedOn w:val="Normal"/>
    <w:rsid w:val="00770DC1"/>
    <w:pPr>
      <w:pBdr>
        <w:top w:val="double" w:sz="6" w:space="0" w:color="000000"/>
        <w:bottom w:val="double" w:sz="6" w:space="0" w:color="000000"/>
        <w:right w:val="double" w:sz="6" w:space="0" w:color="000000"/>
      </w:pBdr>
      <w:shd w:val="clear" w:color="000000" w:fill="B8CCE4"/>
      <w:spacing w:before="100" w:beforeAutospacing="1" w:after="100" w:afterAutospacing="1"/>
      <w:jc w:val="center"/>
    </w:pPr>
    <w:rPr>
      <w:rFonts w:ascii="Tahoma" w:eastAsia="Times New Roman" w:hAnsi="Tahoma" w:cs="Tahoma"/>
      <w:b/>
      <w:bCs/>
      <w:color w:val="002060"/>
      <w:sz w:val="22"/>
      <w:szCs w:val="22"/>
      <w:lang w:val="es-MX" w:eastAsia="es-MX"/>
    </w:rPr>
  </w:style>
  <w:style w:type="paragraph" w:customStyle="1" w:styleId="xl126">
    <w:name w:val="xl126"/>
    <w:basedOn w:val="Normal"/>
    <w:rsid w:val="00770DC1"/>
    <w:pPr>
      <w:pBdr>
        <w:top w:val="double" w:sz="6" w:space="0" w:color="auto"/>
        <w:left w:val="double" w:sz="6" w:space="0" w:color="auto"/>
        <w:right w:val="double" w:sz="6" w:space="0" w:color="auto"/>
      </w:pBdr>
      <w:shd w:val="clear" w:color="000000" w:fill="B8CCE4"/>
      <w:spacing w:before="100" w:beforeAutospacing="1" w:after="100" w:afterAutospacing="1"/>
      <w:jc w:val="center"/>
      <w:textAlignment w:val="center"/>
    </w:pPr>
    <w:rPr>
      <w:rFonts w:ascii="Tahoma" w:eastAsia="Times New Roman" w:hAnsi="Tahoma" w:cs="Tahoma"/>
      <w:b/>
      <w:bCs/>
      <w:color w:val="002060"/>
      <w:lang w:val="es-MX" w:eastAsia="es-MX"/>
    </w:rPr>
  </w:style>
  <w:style w:type="paragraph" w:customStyle="1" w:styleId="xl127">
    <w:name w:val="xl127"/>
    <w:basedOn w:val="Normal"/>
    <w:rsid w:val="00770DC1"/>
    <w:pPr>
      <w:pBdr>
        <w:left w:val="double" w:sz="6" w:space="0" w:color="auto"/>
        <w:right w:val="double" w:sz="6" w:space="0" w:color="auto"/>
      </w:pBdr>
      <w:shd w:val="clear" w:color="000000" w:fill="B8CCE4"/>
      <w:spacing w:before="100" w:beforeAutospacing="1" w:after="100" w:afterAutospacing="1"/>
      <w:jc w:val="center"/>
      <w:textAlignment w:val="center"/>
    </w:pPr>
    <w:rPr>
      <w:rFonts w:ascii="Tahoma" w:eastAsia="Times New Roman" w:hAnsi="Tahoma" w:cs="Tahoma"/>
      <w:b/>
      <w:bCs/>
      <w:color w:val="002060"/>
      <w:lang w:val="es-MX" w:eastAsia="es-MX"/>
    </w:rPr>
  </w:style>
  <w:style w:type="paragraph" w:customStyle="1" w:styleId="xl128">
    <w:name w:val="xl128"/>
    <w:basedOn w:val="Normal"/>
    <w:rsid w:val="00770DC1"/>
    <w:pPr>
      <w:pBdr>
        <w:left w:val="double" w:sz="6" w:space="0" w:color="auto"/>
        <w:bottom w:val="double" w:sz="6" w:space="0" w:color="auto"/>
        <w:right w:val="double" w:sz="6" w:space="0" w:color="auto"/>
      </w:pBdr>
      <w:shd w:val="clear" w:color="000000" w:fill="B8CCE4"/>
      <w:spacing w:before="100" w:beforeAutospacing="1" w:after="100" w:afterAutospacing="1"/>
      <w:jc w:val="center"/>
      <w:textAlignment w:val="center"/>
    </w:pPr>
    <w:rPr>
      <w:rFonts w:ascii="Tahoma" w:eastAsia="Times New Roman" w:hAnsi="Tahoma" w:cs="Tahoma"/>
      <w:b/>
      <w:bCs/>
      <w:color w:val="002060"/>
      <w:lang w:val="es-MX" w:eastAsia="es-MX"/>
    </w:rPr>
  </w:style>
  <w:style w:type="paragraph" w:styleId="NormalWeb">
    <w:name w:val="Normal (Web)"/>
    <w:basedOn w:val="Normal"/>
    <w:uiPriority w:val="99"/>
    <w:semiHidden/>
    <w:unhideWhenUsed/>
    <w:rsid w:val="00770DC1"/>
    <w:pPr>
      <w:spacing w:before="100" w:beforeAutospacing="1" w:after="100" w:afterAutospacing="1"/>
    </w:pPr>
    <w:rPr>
      <w:rFonts w:ascii="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2399">
      <w:bodyDiv w:val="1"/>
      <w:marLeft w:val="0"/>
      <w:marRight w:val="0"/>
      <w:marTop w:val="0"/>
      <w:marBottom w:val="0"/>
      <w:divBdr>
        <w:top w:val="none" w:sz="0" w:space="0" w:color="auto"/>
        <w:left w:val="none" w:sz="0" w:space="0" w:color="auto"/>
        <w:bottom w:val="none" w:sz="0" w:space="0" w:color="auto"/>
        <w:right w:val="none" w:sz="0" w:space="0" w:color="auto"/>
      </w:divBdr>
    </w:div>
    <w:div w:id="170027568">
      <w:bodyDiv w:val="1"/>
      <w:marLeft w:val="0"/>
      <w:marRight w:val="0"/>
      <w:marTop w:val="0"/>
      <w:marBottom w:val="0"/>
      <w:divBdr>
        <w:top w:val="none" w:sz="0" w:space="0" w:color="auto"/>
        <w:left w:val="none" w:sz="0" w:space="0" w:color="auto"/>
        <w:bottom w:val="none" w:sz="0" w:space="0" w:color="auto"/>
        <w:right w:val="none" w:sz="0" w:space="0" w:color="auto"/>
      </w:divBdr>
    </w:div>
    <w:div w:id="179705918">
      <w:bodyDiv w:val="1"/>
      <w:marLeft w:val="0"/>
      <w:marRight w:val="0"/>
      <w:marTop w:val="0"/>
      <w:marBottom w:val="0"/>
      <w:divBdr>
        <w:top w:val="none" w:sz="0" w:space="0" w:color="auto"/>
        <w:left w:val="none" w:sz="0" w:space="0" w:color="auto"/>
        <w:bottom w:val="none" w:sz="0" w:space="0" w:color="auto"/>
        <w:right w:val="none" w:sz="0" w:space="0" w:color="auto"/>
      </w:divBdr>
    </w:div>
    <w:div w:id="241987132">
      <w:bodyDiv w:val="1"/>
      <w:marLeft w:val="0"/>
      <w:marRight w:val="0"/>
      <w:marTop w:val="0"/>
      <w:marBottom w:val="0"/>
      <w:divBdr>
        <w:top w:val="none" w:sz="0" w:space="0" w:color="auto"/>
        <w:left w:val="none" w:sz="0" w:space="0" w:color="auto"/>
        <w:bottom w:val="none" w:sz="0" w:space="0" w:color="auto"/>
        <w:right w:val="none" w:sz="0" w:space="0" w:color="auto"/>
      </w:divBdr>
    </w:div>
    <w:div w:id="342245311">
      <w:bodyDiv w:val="1"/>
      <w:marLeft w:val="0"/>
      <w:marRight w:val="0"/>
      <w:marTop w:val="0"/>
      <w:marBottom w:val="0"/>
      <w:divBdr>
        <w:top w:val="none" w:sz="0" w:space="0" w:color="auto"/>
        <w:left w:val="none" w:sz="0" w:space="0" w:color="auto"/>
        <w:bottom w:val="none" w:sz="0" w:space="0" w:color="auto"/>
        <w:right w:val="none" w:sz="0" w:space="0" w:color="auto"/>
      </w:divBdr>
    </w:div>
    <w:div w:id="804077699">
      <w:bodyDiv w:val="1"/>
      <w:marLeft w:val="0"/>
      <w:marRight w:val="0"/>
      <w:marTop w:val="0"/>
      <w:marBottom w:val="0"/>
      <w:divBdr>
        <w:top w:val="none" w:sz="0" w:space="0" w:color="auto"/>
        <w:left w:val="none" w:sz="0" w:space="0" w:color="auto"/>
        <w:bottom w:val="none" w:sz="0" w:space="0" w:color="auto"/>
        <w:right w:val="none" w:sz="0" w:space="0" w:color="auto"/>
      </w:divBdr>
    </w:div>
    <w:div w:id="916985597">
      <w:bodyDiv w:val="1"/>
      <w:marLeft w:val="0"/>
      <w:marRight w:val="0"/>
      <w:marTop w:val="0"/>
      <w:marBottom w:val="0"/>
      <w:divBdr>
        <w:top w:val="none" w:sz="0" w:space="0" w:color="auto"/>
        <w:left w:val="none" w:sz="0" w:space="0" w:color="auto"/>
        <w:bottom w:val="none" w:sz="0" w:space="0" w:color="auto"/>
        <w:right w:val="none" w:sz="0" w:space="0" w:color="auto"/>
      </w:divBdr>
    </w:div>
    <w:div w:id="1139808859">
      <w:bodyDiv w:val="1"/>
      <w:marLeft w:val="0"/>
      <w:marRight w:val="0"/>
      <w:marTop w:val="0"/>
      <w:marBottom w:val="0"/>
      <w:divBdr>
        <w:top w:val="none" w:sz="0" w:space="0" w:color="auto"/>
        <w:left w:val="none" w:sz="0" w:space="0" w:color="auto"/>
        <w:bottom w:val="none" w:sz="0" w:space="0" w:color="auto"/>
        <w:right w:val="none" w:sz="0" w:space="0" w:color="auto"/>
      </w:divBdr>
    </w:div>
    <w:div w:id="1152022665">
      <w:bodyDiv w:val="1"/>
      <w:marLeft w:val="0"/>
      <w:marRight w:val="0"/>
      <w:marTop w:val="0"/>
      <w:marBottom w:val="0"/>
      <w:divBdr>
        <w:top w:val="none" w:sz="0" w:space="0" w:color="auto"/>
        <w:left w:val="none" w:sz="0" w:space="0" w:color="auto"/>
        <w:bottom w:val="none" w:sz="0" w:space="0" w:color="auto"/>
        <w:right w:val="none" w:sz="0" w:space="0" w:color="auto"/>
      </w:divBdr>
    </w:div>
    <w:div w:id="1326594559">
      <w:bodyDiv w:val="1"/>
      <w:marLeft w:val="0"/>
      <w:marRight w:val="0"/>
      <w:marTop w:val="0"/>
      <w:marBottom w:val="0"/>
      <w:divBdr>
        <w:top w:val="none" w:sz="0" w:space="0" w:color="auto"/>
        <w:left w:val="none" w:sz="0" w:space="0" w:color="auto"/>
        <w:bottom w:val="none" w:sz="0" w:space="0" w:color="auto"/>
        <w:right w:val="none" w:sz="0" w:space="0" w:color="auto"/>
      </w:divBdr>
    </w:div>
    <w:div w:id="1534807329">
      <w:bodyDiv w:val="1"/>
      <w:marLeft w:val="0"/>
      <w:marRight w:val="0"/>
      <w:marTop w:val="0"/>
      <w:marBottom w:val="0"/>
      <w:divBdr>
        <w:top w:val="none" w:sz="0" w:space="0" w:color="auto"/>
        <w:left w:val="none" w:sz="0" w:space="0" w:color="auto"/>
        <w:bottom w:val="none" w:sz="0" w:space="0" w:color="auto"/>
        <w:right w:val="none" w:sz="0" w:space="0" w:color="auto"/>
      </w:divBdr>
    </w:div>
    <w:div w:id="1545867971">
      <w:bodyDiv w:val="1"/>
      <w:marLeft w:val="0"/>
      <w:marRight w:val="0"/>
      <w:marTop w:val="0"/>
      <w:marBottom w:val="0"/>
      <w:divBdr>
        <w:top w:val="none" w:sz="0" w:space="0" w:color="auto"/>
        <w:left w:val="none" w:sz="0" w:space="0" w:color="auto"/>
        <w:bottom w:val="none" w:sz="0" w:space="0" w:color="auto"/>
        <w:right w:val="none" w:sz="0" w:space="0" w:color="auto"/>
      </w:divBdr>
    </w:div>
    <w:div w:id="1604922033">
      <w:bodyDiv w:val="1"/>
      <w:marLeft w:val="0"/>
      <w:marRight w:val="0"/>
      <w:marTop w:val="0"/>
      <w:marBottom w:val="0"/>
      <w:divBdr>
        <w:top w:val="none" w:sz="0" w:space="0" w:color="auto"/>
        <w:left w:val="none" w:sz="0" w:space="0" w:color="auto"/>
        <w:bottom w:val="none" w:sz="0" w:space="0" w:color="auto"/>
        <w:right w:val="none" w:sz="0" w:space="0" w:color="auto"/>
      </w:divBdr>
    </w:div>
    <w:div w:id="1762679122">
      <w:bodyDiv w:val="1"/>
      <w:marLeft w:val="0"/>
      <w:marRight w:val="0"/>
      <w:marTop w:val="0"/>
      <w:marBottom w:val="0"/>
      <w:divBdr>
        <w:top w:val="none" w:sz="0" w:space="0" w:color="auto"/>
        <w:left w:val="none" w:sz="0" w:space="0" w:color="auto"/>
        <w:bottom w:val="none" w:sz="0" w:space="0" w:color="auto"/>
        <w:right w:val="none" w:sz="0" w:space="0" w:color="auto"/>
      </w:divBdr>
    </w:div>
    <w:div w:id="1789542024">
      <w:bodyDiv w:val="1"/>
      <w:marLeft w:val="0"/>
      <w:marRight w:val="0"/>
      <w:marTop w:val="0"/>
      <w:marBottom w:val="0"/>
      <w:divBdr>
        <w:top w:val="none" w:sz="0" w:space="0" w:color="auto"/>
        <w:left w:val="none" w:sz="0" w:space="0" w:color="auto"/>
        <w:bottom w:val="none" w:sz="0" w:space="0" w:color="auto"/>
        <w:right w:val="none" w:sz="0" w:space="0" w:color="auto"/>
      </w:divBdr>
    </w:div>
    <w:div w:id="1900287033">
      <w:bodyDiv w:val="1"/>
      <w:marLeft w:val="0"/>
      <w:marRight w:val="0"/>
      <w:marTop w:val="0"/>
      <w:marBottom w:val="0"/>
      <w:divBdr>
        <w:top w:val="none" w:sz="0" w:space="0" w:color="auto"/>
        <w:left w:val="none" w:sz="0" w:space="0" w:color="auto"/>
        <w:bottom w:val="none" w:sz="0" w:space="0" w:color="auto"/>
        <w:right w:val="none" w:sz="0" w:space="0" w:color="auto"/>
      </w:divBdr>
    </w:div>
    <w:div w:id="209219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5192-120B-4D3A-AAB0-7647F2C1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5089</Words>
  <Characters>29010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Lopez</dc:creator>
  <cp:lastModifiedBy>Delia Liliana Tavarez Martinez</cp:lastModifiedBy>
  <cp:revision>4</cp:revision>
  <cp:lastPrinted>2019-04-04T17:12:00Z</cp:lastPrinted>
  <dcterms:created xsi:type="dcterms:W3CDTF">2020-10-13T22:57:00Z</dcterms:created>
  <dcterms:modified xsi:type="dcterms:W3CDTF">2020-10-14T16:48:00Z</dcterms:modified>
</cp:coreProperties>
</file>